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7D4" w:rsidRPr="00276B6A" w:rsidRDefault="006A07D4" w:rsidP="00D71AD9">
      <w:pPr>
        <w:spacing w:after="120" w:line="240" w:lineRule="auto"/>
        <w:jc w:val="center"/>
        <w:rPr>
          <w:rFonts w:ascii="Arial" w:hAnsi="Arial" w:cs="Arial"/>
          <w:b/>
          <w:sz w:val="24"/>
          <w:szCs w:val="24"/>
        </w:rPr>
      </w:pPr>
      <w:r w:rsidRPr="00276B6A">
        <w:rPr>
          <w:rFonts w:ascii="Arial" w:hAnsi="Arial" w:cs="Arial"/>
          <w:b/>
          <w:sz w:val="24"/>
          <w:szCs w:val="24"/>
        </w:rPr>
        <w:t>ORTA VADELİ PROGRAM</w:t>
      </w:r>
    </w:p>
    <w:p w:rsidR="006A07D4" w:rsidRDefault="006A07D4" w:rsidP="00D71AD9">
      <w:pPr>
        <w:spacing w:after="120" w:line="240" w:lineRule="auto"/>
        <w:jc w:val="center"/>
        <w:rPr>
          <w:rFonts w:ascii="Arial" w:hAnsi="Arial" w:cs="Arial"/>
          <w:b/>
          <w:sz w:val="24"/>
          <w:szCs w:val="24"/>
        </w:rPr>
      </w:pPr>
      <w:r w:rsidRPr="00276B6A">
        <w:rPr>
          <w:rFonts w:ascii="Arial" w:hAnsi="Arial" w:cs="Arial"/>
          <w:b/>
          <w:sz w:val="24"/>
          <w:szCs w:val="24"/>
        </w:rPr>
        <w:t>(2014-2016)</w:t>
      </w:r>
      <w:r w:rsidR="00B32578">
        <w:rPr>
          <w:rFonts w:ascii="Arial" w:hAnsi="Arial" w:cs="Arial"/>
          <w:b/>
          <w:sz w:val="24"/>
          <w:szCs w:val="24"/>
        </w:rPr>
        <w:t xml:space="preserve"> </w:t>
      </w:r>
    </w:p>
    <w:p w:rsidR="006A07D4" w:rsidRPr="00276B6A" w:rsidRDefault="006A07D4" w:rsidP="00D71AD9">
      <w:pPr>
        <w:spacing w:after="120" w:line="240" w:lineRule="auto"/>
        <w:ind w:firstLine="708"/>
        <w:rPr>
          <w:rFonts w:ascii="Arial" w:hAnsi="Arial" w:cs="Arial"/>
          <w:b/>
          <w:sz w:val="24"/>
          <w:szCs w:val="24"/>
        </w:rPr>
      </w:pPr>
      <w:r w:rsidRPr="00276B6A">
        <w:rPr>
          <w:rFonts w:ascii="Arial" w:hAnsi="Arial" w:cs="Arial"/>
          <w:b/>
          <w:sz w:val="24"/>
          <w:szCs w:val="24"/>
        </w:rPr>
        <w:t>GİRİŞ</w:t>
      </w:r>
    </w:p>
    <w:p w:rsidR="00726C7A" w:rsidRPr="00726C7A" w:rsidRDefault="00754FCD"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726C7A">
        <w:rPr>
          <w:rFonts w:ascii="Arial" w:hAnsi="Arial" w:cs="Arial"/>
          <w:sz w:val="24"/>
          <w:szCs w:val="24"/>
        </w:rPr>
        <w:t xml:space="preserve">Ülkemizin </w:t>
      </w:r>
      <w:r w:rsidR="00E96B36" w:rsidRPr="00726C7A">
        <w:rPr>
          <w:rFonts w:ascii="Arial" w:hAnsi="Arial" w:cs="Arial"/>
          <w:sz w:val="24"/>
          <w:szCs w:val="24"/>
        </w:rPr>
        <w:t>2023 hede</w:t>
      </w:r>
      <w:r w:rsidR="0099291D" w:rsidRPr="00726C7A">
        <w:rPr>
          <w:rFonts w:ascii="Arial" w:hAnsi="Arial" w:cs="Arial"/>
          <w:sz w:val="24"/>
          <w:szCs w:val="24"/>
        </w:rPr>
        <w:t>fleri doğrultusunda hazırlanan Onuncu Kalkınma Planı (2014-2018)</w:t>
      </w:r>
      <w:r w:rsidR="00E96B36" w:rsidRPr="00726C7A">
        <w:rPr>
          <w:rFonts w:ascii="Arial" w:hAnsi="Arial" w:cs="Arial"/>
          <w:sz w:val="24"/>
          <w:szCs w:val="24"/>
        </w:rPr>
        <w:t xml:space="preserve"> </w:t>
      </w:r>
      <w:r w:rsidR="0099291D" w:rsidRPr="00726C7A">
        <w:rPr>
          <w:rFonts w:ascii="Arial" w:hAnsi="Arial" w:cs="Arial"/>
          <w:sz w:val="24"/>
          <w:szCs w:val="24"/>
        </w:rPr>
        <w:t>2 Temmuz 2013 tarihinde Türkiye Büyük Millet Meclisinde kabul edilmiştir.</w:t>
      </w:r>
      <w:r w:rsidR="00E96B36" w:rsidRPr="00726C7A">
        <w:rPr>
          <w:rFonts w:ascii="Arial" w:hAnsi="Arial" w:cs="Arial"/>
          <w:sz w:val="24"/>
          <w:szCs w:val="24"/>
        </w:rPr>
        <w:t xml:space="preserve"> </w:t>
      </w:r>
      <w:r w:rsidR="00726C7A" w:rsidRPr="00726C7A">
        <w:rPr>
          <w:rFonts w:ascii="Arial" w:hAnsi="Arial" w:cs="Arial"/>
          <w:sz w:val="24"/>
          <w:szCs w:val="24"/>
        </w:rPr>
        <w:t>Onuncu Kalkınma Planı; yüksek, istikrarlı ve kapsayıcı ekonomik büyümenin yanı sıra hukukun üstünlüğü, bilgi toplumu, uluslararası rekabet gücü, insani gelişmişlik, çevrenin korunması ve kaynakların sürdürülebilir kullanımı gibi unsurları kapsayacak şekilde tasarlanmıştır</w:t>
      </w:r>
      <w:r w:rsidR="000556CF">
        <w:rPr>
          <w:rFonts w:ascii="Arial" w:hAnsi="Arial" w:cs="Arial"/>
          <w:sz w:val="24"/>
          <w:szCs w:val="24"/>
        </w:rPr>
        <w:t>.</w:t>
      </w:r>
    </w:p>
    <w:p w:rsidR="000556CF" w:rsidRDefault="00E96B3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57D50">
        <w:rPr>
          <w:rFonts w:ascii="Arial" w:hAnsi="Arial" w:cs="Arial"/>
          <w:sz w:val="24"/>
          <w:szCs w:val="24"/>
        </w:rPr>
        <w:t xml:space="preserve">Toplumumuzu yüksek refah seviyesine ulaştırma yolunda önemli bir </w:t>
      </w:r>
      <w:r w:rsidR="00E525ED" w:rsidRPr="00257D50">
        <w:rPr>
          <w:rFonts w:ascii="Arial" w:hAnsi="Arial" w:cs="Arial"/>
          <w:sz w:val="24"/>
          <w:szCs w:val="24"/>
        </w:rPr>
        <w:t xml:space="preserve">adım olan </w:t>
      </w:r>
      <w:r w:rsidRPr="00257D50">
        <w:rPr>
          <w:rFonts w:ascii="Arial" w:hAnsi="Arial" w:cs="Arial"/>
          <w:sz w:val="24"/>
          <w:szCs w:val="24"/>
        </w:rPr>
        <w:t>Onuncu Kalkınma Planı “Nitelikli İnsan, Güçlü Toplum”, “Yenilikçi Üretim, İstikrarlı Yüksek Büyüme”, “Yaşanabilir Mekânlar, Sürdürülebilir Çevre” ve “Kalkınma İçin Uluslararası İşbirliği” olmak üzere dört ana başlıktan ol</w:t>
      </w:r>
      <w:r w:rsidR="00EC5481">
        <w:rPr>
          <w:rFonts w:ascii="Arial" w:hAnsi="Arial" w:cs="Arial"/>
          <w:sz w:val="24"/>
          <w:szCs w:val="24"/>
        </w:rPr>
        <w:t>uşmuştur.</w:t>
      </w:r>
    </w:p>
    <w:p w:rsidR="001F6D57" w:rsidRDefault="00E96B3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1F6D57">
        <w:rPr>
          <w:rFonts w:ascii="Arial" w:hAnsi="Arial" w:cs="Arial"/>
          <w:sz w:val="24"/>
          <w:szCs w:val="24"/>
        </w:rPr>
        <w:t>Planda yapısal mahiyette çözüm getirilmesi gerektiği düşünülen</w:t>
      </w:r>
      <w:r w:rsidR="001F2B45" w:rsidRPr="001F6D57">
        <w:rPr>
          <w:rFonts w:ascii="Arial" w:hAnsi="Arial" w:cs="Arial"/>
          <w:sz w:val="24"/>
          <w:szCs w:val="24"/>
        </w:rPr>
        <w:t xml:space="preserve"> 25 alan</w:t>
      </w:r>
      <w:r w:rsidRPr="001F6D57">
        <w:rPr>
          <w:rFonts w:ascii="Arial" w:hAnsi="Arial" w:cs="Arial"/>
          <w:sz w:val="24"/>
          <w:szCs w:val="24"/>
        </w:rPr>
        <w:t xml:space="preserve">a yönelik </w:t>
      </w:r>
      <w:r w:rsidR="00EC5481" w:rsidRPr="001F6D57">
        <w:rPr>
          <w:rFonts w:ascii="Arial" w:hAnsi="Arial" w:cs="Arial"/>
          <w:sz w:val="24"/>
          <w:szCs w:val="24"/>
        </w:rPr>
        <w:t>“ö</w:t>
      </w:r>
      <w:r w:rsidRPr="001F6D57">
        <w:rPr>
          <w:rFonts w:ascii="Arial" w:hAnsi="Arial" w:cs="Arial"/>
          <w:sz w:val="24"/>
          <w:szCs w:val="24"/>
        </w:rPr>
        <w:t xml:space="preserve">ncelikli </w:t>
      </w:r>
      <w:r w:rsidR="00EC5481" w:rsidRPr="001F6D57">
        <w:rPr>
          <w:rFonts w:ascii="Arial" w:hAnsi="Arial" w:cs="Arial"/>
          <w:sz w:val="24"/>
          <w:szCs w:val="24"/>
        </w:rPr>
        <w:t>dönüşüm p</w:t>
      </w:r>
      <w:r w:rsidRPr="001F6D57">
        <w:rPr>
          <w:rFonts w:ascii="Arial" w:hAnsi="Arial" w:cs="Arial"/>
          <w:sz w:val="24"/>
          <w:szCs w:val="24"/>
        </w:rPr>
        <w:t>rogramı</w:t>
      </w:r>
      <w:r w:rsidR="00EC5481" w:rsidRPr="001F6D57">
        <w:rPr>
          <w:rFonts w:ascii="Arial" w:hAnsi="Arial" w:cs="Arial"/>
          <w:sz w:val="24"/>
          <w:szCs w:val="24"/>
        </w:rPr>
        <w:t>”</w:t>
      </w:r>
      <w:r w:rsidR="001F2B45" w:rsidRPr="001F6D57">
        <w:rPr>
          <w:rFonts w:ascii="Arial" w:hAnsi="Arial" w:cs="Arial"/>
          <w:sz w:val="24"/>
          <w:szCs w:val="24"/>
        </w:rPr>
        <w:t xml:space="preserve"> oluşturulmuştur</w:t>
      </w:r>
      <w:r w:rsidRPr="001F6D57">
        <w:rPr>
          <w:rFonts w:ascii="Arial" w:hAnsi="Arial" w:cs="Arial"/>
          <w:sz w:val="24"/>
          <w:szCs w:val="24"/>
        </w:rPr>
        <w:t>.</w:t>
      </w:r>
      <w:r w:rsidR="001F2B45" w:rsidRPr="001F6D57">
        <w:rPr>
          <w:rFonts w:ascii="Arial" w:hAnsi="Arial" w:cs="Arial"/>
          <w:sz w:val="24"/>
          <w:szCs w:val="24"/>
        </w:rPr>
        <w:t xml:space="preserve"> </w:t>
      </w:r>
    </w:p>
    <w:p w:rsidR="00E96B36" w:rsidRPr="001F6D57" w:rsidRDefault="00210E65"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1F6D57">
        <w:rPr>
          <w:rFonts w:ascii="Arial" w:hAnsi="Arial" w:cs="Arial"/>
          <w:sz w:val="24"/>
          <w:szCs w:val="24"/>
        </w:rPr>
        <w:t>Bütçe sürecini başlatan</w:t>
      </w:r>
      <w:r w:rsidR="00EC5481" w:rsidRPr="001F6D57">
        <w:rPr>
          <w:rFonts w:ascii="Arial" w:hAnsi="Arial" w:cs="Arial"/>
          <w:sz w:val="24"/>
          <w:szCs w:val="24"/>
        </w:rPr>
        <w:t xml:space="preserve"> v</w:t>
      </w:r>
      <w:r w:rsidR="00097A5F" w:rsidRPr="001F6D57">
        <w:rPr>
          <w:rFonts w:ascii="Arial" w:hAnsi="Arial" w:cs="Arial"/>
          <w:sz w:val="24"/>
          <w:szCs w:val="24"/>
        </w:rPr>
        <w:t xml:space="preserve">e 2014-2016 dönemini kapsayan </w:t>
      </w:r>
      <w:r w:rsidR="00C76DB2" w:rsidRPr="001F6D57">
        <w:rPr>
          <w:rFonts w:ascii="Arial" w:hAnsi="Arial" w:cs="Arial"/>
          <w:sz w:val="24"/>
          <w:szCs w:val="24"/>
        </w:rPr>
        <w:t>Orta Vadeli Programda</w:t>
      </w:r>
      <w:r w:rsidR="00EC5481" w:rsidRPr="001F6D57">
        <w:rPr>
          <w:rFonts w:ascii="Arial" w:hAnsi="Arial" w:cs="Arial"/>
          <w:sz w:val="24"/>
          <w:szCs w:val="24"/>
        </w:rPr>
        <w:t xml:space="preserve"> </w:t>
      </w:r>
      <w:r w:rsidR="00C76DB2" w:rsidRPr="001F6D57">
        <w:rPr>
          <w:rFonts w:ascii="Arial" w:hAnsi="Arial" w:cs="Arial"/>
          <w:sz w:val="24"/>
          <w:szCs w:val="24"/>
        </w:rPr>
        <w:t>(OVP)</w:t>
      </w:r>
      <w:r w:rsidR="00E96B36" w:rsidRPr="001F6D57">
        <w:rPr>
          <w:rFonts w:ascii="Arial" w:hAnsi="Arial" w:cs="Arial"/>
          <w:sz w:val="24"/>
          <w:szCs w:val="24"/>
        </w:rPr>
        <w:t xml:space="preserve">, </w:t>
      </w:r>
      <w:r w:rsidR="00097A5F" w:rsidRPr="001F6D57">
        <w:rPr>
          <w:rFonts w:ascii="Arial" w:hAnsi="Arial" w:cs="Arial"/>
          <w:sz w:val="24"/>
          <w:szCs w:val="24"/>
        </w:rPr>
        <w:t xml:space="preserve">yeni plan döneminde </w:t>
      </w:r>
      <w:r w:rsidR="001A67C7" w:rsidRPr="001F6D57">
        <w:rPr>
          <w:rFonts w:ascii="Arial" w:hAnsi="Arial" w:cs="Arial"/>
          <w:sz w:val="24"/>
          <w:szCs w:val="24"/>
        </w:rPr>
        <w:t xml:space="preserve">biçim ve içerik </w:t>
      </w:r>
      <w:r w:rsidR="00E96B36" w:rsidRPr="001F6D57">
        <w:rPr>
          <w:rFonts w:ascii="Arial" w:hAnsi="Arial" w:cs="Arial"/>
          <w:sz w:val="24"/>
          <w:szCs w:val="24"/>
        </w:rPr>
        <w:t>değişikliğ</w:t>
      </w:r>
      <w:r w:rsidRPr="001F6D57">
        <w:rPr>
          <w:rFonts w:ascii="Arial" w:hAnsi="Arial" w:cs="Arial"/>
          <w:sz w:val="24"/>
          <w:szCs w:val="24"/>
        </w:rPr>
        <w:t>in</w:t>
      </w:r>
      <w:r w:rsidR="00E96B36" w:rsidRPr="001F6D57">
        <w:rPr>
          <w:rFonts w:ascii="Arial" w:hAnsi="Arial" w:cs="Arial"/>
          <w:sz w:val="24"/>
          <w:szCs w:val="24"/>
        </w:rPr>
        <w:t xml:space="preserve">e gidilmiştir. Yeni </w:t>
      </w:r>
      <w:r w:rsidRPr="001F6D57">
        <w:rPr>
          <w:rFonts w:ascii="Arial" w:hAnsi="Arial" w:cs="Arial"/>
          <w:sz w:val="24"/>
          <w:szCs w:val="24"/>
        </w:rPr>
        <w:t>tasarımda</w:t>
      </w:r>
      <w:r w:rsidR="00E96B36" w:rsidRPr="001F6D57">
        <w:rPr>
          <w:rFonts w:ascii="Arial" w:hAnsi="Arial" w:cs="Arial"/>
          <w:sz w:val="24"/>
          <w:szCs w:val="24"/>
        </w:rPr>
        <w:t xml:space="preserve"> </w:t>
      </w:r>
      <w:r w:rsidR="000A67A9" w:rsidRPr="001F6D57">
        <w:rPr>
          <w:rFonts w:ascii="Arial" w:hAnsi="Arial" w:cs="Arial"/>
          <w:sz w:val="24"/>
          <w:szCs w:val="24"/>
        </w:rPr>
        <w:t xml:space="preserve">sadece </w:t>
      </w:r>
      <w:r w:rsidR="00E96B36" w:rsidRPr="001F6D57">
        <w:rPr>
          <w:rFonts w:ascii="Arial" w:hAnsi="Arial" w:cs="Arial"/>
          <w:sz w:val="24"/>
          <w:szCs w:val="24"/>
        </w:rPr>
        <w:t xml:space="preserve">belirli makroekonomik </w:t>
      </w:r>
      <w:r w:rsidR="000A67A9" w:rsidRPr="001F6D57">
        <w:rPr>
          <w:rFonts w:ascii="Arial" w:hAnsi="Arial" w:cs="Arial"/>
          <w:sz w:val="24"/>
          <w:szCs w:val="24"/>
        </w:rPr>
        <w:t xml:space="preserve">amaç, </w:t>
      </w:r>
      <w:r w:rsidR="00E96B36" w:rsidRPr="001F6D57">
        <w:rPr>
          <w:rFonts w:ascii="Arial" w:hAnsi="Arial" w:cs="Arial"/>
          <w:sz w:val="24"/>
          <w:szCs w:val="24"/>
        </w:rPr>
        <w:t>hedef</w:t>
      </w:r>
      <w:r w:rsidR="000A67A9" w:rsidRPr="001F6D57">
        <w:rPr>
          <w:rFonts w:ascii="Arial" w:hAnsi="Arial" w:cs="Arial"/>
          <w:sz w:val="24"/>
          <w:szCs w:val="24"/>
        </w:rPr>
        <w:t xml:space="preserve"> </w:t>
      </w:r>
      <w:r w:rsidRPr="001F6D57">
        <w:rPr>
          <w:rFonts w:ascii="Arial" w:hAnsi="Arial" w:cs="Arial"/>
          <w:sz w:val="24"/>
          <w:szCs w:val="24"/>
        </w:rPr>
        <w:t>ve</w:t>
      </w:r>
      <w:r w:rsidR="000A67A9" w:rsidRPr="001F6D57">
        <w:rPr>
          <w:rFonts w:ascii="Arial" w:hAnsi="Arial" w:cs="Arial"/>
          <w:sz w:val="24"/>
          <w:szCs w:val="24"/>
        </w:rPr>
        <w:t xml:space="preserve"> politikalara yer verilmiştir.</w:t>
      </w:r>
      <w:r w:rsidR="00D76401" w:rsidRPr="001F6D57">
        <w:rPr>
          <w:rFonts w:ascii="Arial" w:hAnsi="Arial" w:cs="Arial"/>
          <w:sz w:val="24"/>
          <w:szCs w:val="24"/>
        </w:rPr>
        <w:t xml:space="preserve"> </w:t>
      </w:r>
      <w:r w:rsidR="000A67A9" w:rsidRPr="001F6D57">
        <w:rPr>
          <w:rFonts w:ascii="Arial" w:hAnsi="Arial" w:cs="Arial"/>
          <w:sz w:val="24"/>
          <w:szCs w:val="24"/>
        </w:rPr>
        <w:t>Sektörel</w:t>
      </w:r>
      <w:r w:rsidR="00164BB6" w:rsidRPr="001F6D57">
        <w:rPr>
          <w:rFonts w:ascii="Arial" w:hAnsi="Arial" w:cs="Arial"/>
          <w:sz w:val="24"/>
          <w:szCs w:val="24"/>
        </w:rPr>
        <w:t>, sosyal</w:t>
      </w:r>
      <w:r w:rsidR="000A67A9" w:rsidRPr="001F6D57">
        <w:rPr>
          <w:rFonts w:ascii="Arial" w:hAnsi="Arial" w:cs="Arial"/>
          <w:sz w:val="24"/>
          <w:szCs w:val="24"/>
        </w:rPr>
        <w:t xml:space="preserve"> ve bölgesel hususlar, makroekonomik çerçeveye doğrudan katkı sağlayacak politikalarla sınırlı tutulmuştur</w:t>
      </w:r>
      <w:r w:rsidR="00E96B36" w:rsidRPr="001F6D57">
        <w:rPr>
          <w:rFonts w:ascii="Arial" w:hAnsi="Arial" w:cs="Arial"/>
          <w:sz w:val="24"/>
          <w:szCs w:val="24"/>
        </w:rPr>
        <w:t>.</w:t>
      </w:r>
    </w:p>
    <w:p w:rsidR="00C76DB2" w:rsidRPr="00C76DB2" w:rsidRDefault="001A67C7"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Ü</w:t>
      </w:r>
      <w:r w:rsidRPr="001A67C7">
        <w:rPr>
          <w:rFonts w:ascii="Arial" w:hAnsi="Arial" w:cs="Arial"/>
          <w:sz w:val="24"/>
          <w:szCs w:val="24"/>
        </w:rPr>
        <w:t>ç yıllık bir bakış açısına sahip ol</w:t>
      </w:r>
      <w:r w:rsidR="001F6D57">
        <w:rPr>
          <w:rFonts w:ascii="Arial" w:hAnsi="Arial" w:cs="Arial"/>
          <w:sz w:val="24"/>
          <w:szCs w:val="24"/>
        </w:rPr>
        <w:t xml:space="preserve">an ve </w:t>
      </w:r>
      <w:r w:rsidRPr="001A67C7">
        <w:rPr>
          <w:rFonts w:ascii="Arial" w:hAnsi="Arial" w:cs="Arial"/>
          <w:sz w:val="24"/>
          <w:szCs w:val="24"/>
        </w:rPr>
        <w:t xml:space="preserve">her yıl yenilenen </w:t>
      </w:r>
      <w:proofErr w:type="spellStart"/>
      <w:r w:rsidR="00C76DB2">
        <w:rPr>
          <w:rFonts w:ascii="Arial" w:hAnsi="Arial" w:cs="Arial"/>
          <w:sz w:val="24"/>
          <w:szCs w:val="24"/>
        </w:rPr>
        <w:t>OVP’de</w:t>
      </w:r>
      <w:proofErr w:type="spellEnd"/>
      <w:r>
        <w:rPr>
          <w:rFonts w:ascii="Arial" w:hAnsi="Arial" w:cs="Arial"/>
          <w:sz w:val="24"/>
          <w:szCs w:val="24"/>
        </w:rPr>
        <w:t>,</w:t>
      </w:r>
      <w:r w:rsidR="00C76DB2">
        <w:rPr>
          <w:rFonts w:ascii="Arial" w:hAnsi="Arial" w:cs="Arial"/>
          <w:sz w:val="24"/>
          <w:szCs w:val="24"/>
        </w:rPr>
        <w:t xml:space="preserve"> Plan perspektifinin </w:t>
      </w:r>
      <w:r w:rsidR="00C76DB2" w:rsidRPr="008946F3">
        <w:rPr>
          <w:rFonts w:ascii="Arial" w:hAnsi="Arial" w:cs="Arial"/>
          <w:sz w:val="24"/>
          <w:szCs w:val="24"/>
        </w:rPr>
        <w:t xml:space="preserve">yanı sıra son dönemde </w:t>
      </w:r>
      <w:r w:rsidR="00186E72">
        <w:rPr>
          <w:rFonts w:ascii="Arial" w:hAnsi="Arial" w:cs="Arial"/>
          <w:sz w:val="24"/>
          <w:szCs w:val="24"/>
        </w:rPr>
        <w:t xml:space="preserve">iç ve dış </w:t>
      </w:r>
      <w:r w:rsidR="00C76DB2">
        <w:rPr>
          <w:rFonts w:ascii="Arial" w:hAnsi="Arial" w:cs="Arial"/>
          <w:sz w:val="24"/>
          <w:szCs w:val="24"/>
        </w:rPr>
        <w:t>piyasalarda</w:t>
      </w:r>
      <w:r w:rsidR="00C76DB2" w:rsidRPr="008946F3">
        <w:rPr>
          <w:rFonts w:ascii="Arial" w:hAnsi="Arial" w:cs="Arial"/>
          <w:sz w:val="24"/>
          <w:szCs w:val="24"/>
        </w:rPr>
        <w:t xml:space="preserve"> yaşanan</w:t>
      </w:r>
      <w:r w:rsidR="00C76DB2">
        <w:rPr>
          <w:rFonts w:ascii="Arial" w:hAnsi="Arial" w:cs="Arial"/>
          <w:sz w:val="24"/>
          <w:szCs w:val="24"/>
        </w:rPr>
        <w:t xml:space="preserve"> gelişmeler</w:t>
      </w:r>
      <w:r w:rsidR="00C76DB2" w:rsidRPr="008946F3">
        <w:rPr>
          <w:rFonts w:ascii="Arial" w:hAnsi="Arial" w:cs="Arial"/>
          <w:sz w:val="24"/>
          <w:szCs w:val="24"/>
        </w:rPr>
        <w:t xml:space="preserve"> </w:t>
      </w:r>
      <w:r w:rsidR="00186E72">
        <w:rPr>
          <w:rFonts w:ascii="Arial" w:hAnsi="Arial" w:cs="Arial"/>
          <w:sz w:val="24"/>
          <w:szCs w:val="24"/>
        </w:rPr>
        <w:t xml:space="preserve">de </w:t>
      </w:r>
      <w:r w:rsidR="00C76DB2" w:rsidRPr="008946F3">
        <w:rPr>
          <w:rFonts w:ascii="Arial" w:hAnsi="Arial" w:cs="Arial"/>
          <w:sz w:val="24"/>
          <w:szCs w:val="24"/>
        </w:rPr>
        <w:t xml:space="preserve">dikkate alınmıştır. </w:t>
      </w:r>
    </w:p>
    <w:p w:rsidR="00754FCD" w:rsidRPr="00276B6A" w:rsidRDefault="00754FCD"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Kalkınma Planında yer alan politikalar</w:t>
      </w:r>
      <w:r w:rsidR="00097A5F">
        <w:rPr>
          <w:rFonts w:ascii="Arial" w:hAnsi="Arial" w:cs="Arial"/>
          <w:sz w:val="24"/>
          <w:szCs w:val="24"/>
        </w:rPr>
        <w:t xml:space="preserve">dan 2014 yılında </w:t>
      </w:r>
      <w:r>
        <w:rPr>
          <w:rFonts w:ascii="Arial" w:hAnsi="Arial" w:cs="Arial"/>
          <w:sz w:val="24"/>
          <w:szCs w:val="24"/>
        </w:rPr>
        <w:t>hayata geçir</w:t>
      </w:r>
      <w:r w:rsidR="00097A5F">
        <w:rPr>
          <w:rFonts w:ascii="Arial" w:hAnsi="Arial" w:cs="Arial"/>
          <w:sz w:val="24"/>
          <w:szCs w:val="24"/>
        </w:rPr>
        <w:t>ilmesi öngörülenlere ilişkin faaliyet ve projelere 2014 Yılı P</w:t>
      </w:r>
      <w:r>
        <w:rPr>
          <w:rFonts w:ascii="Arial" w:hAnsi="Arial" w:cs="Arial"/>
          <w:sz w:val="24"/>
          <w:szCs w:val="24"/>
        </w:rPr>
        <w:t>rogram</w:t>
      </w:r>
      <w:r w:rsidR="00097A5F">
        <w:rPr>
          <w:rFonts w:ascii="Arial" w:hAnsi="Arial" w:cs="Arial"/>
          <w:sz w:val="24"/>
          <w:szCs w:val="24"/>
        </w:rPr>
        <w:t>ında yer verilecektir.</w:t>
      </w:r>
      <w:r>
        <w:rPr>
          <w:rFonts w:ascii="Arial" w:hAnsi="Arial" w:cs="Arial"/>
          <w:sz w:val="24"/>
          <w:szCs w:val="24"/>
        </w:rPr>
        <w:t xml:space="preserve">  </w:t>
      </w:r>
    </w:p>
    <w:p w:rsidR="009C3FF3" w:rsidRPr="00276B6A" w:rsidRDefault="009C3FF3" w:rsidP="00D71AD9">
      <w:pPr>
        <w:spacing w:after="120" w:line="240" w:lineRule="auto"/>
        <w:ind w:firstLine="709"/>
        <w:jc w:val="both"/>
        <w:rPr>
          <w:rFonts w:ascii="Arial" w:hAnsi="Arial" w:cs="Arial"/>
          <w:b/>
          <w:sz w:val="24"/>
          <w:szCs w:val="24"/>
        </w:rPr>
      </w:pPr>
      <w:r w:rsidRPr="00276B6A">
        <w:rPr>
          <w:rFonts w:ascii="Arial" w:hAnsi="Arial" w:cs="Arial"/>
          <w:b/>
          <w:sz w:val="24"/>
          <w:szCs w:val="24"/>
        </w:rPr>
        <w:t>I. DÜNYA VE TÜRKİYE EKONOMİSİNDE GELİŞMELER</w:t>
      </w:r>
    </w:p>
    <w:p w:rsidR="00A01E90" w:rsidRPr="000675F9" w:rsidRDefault="00A01E90" w:rsidP="00D71AD9">
      <w:pPr>
        <w:spacing w:after="120" w:line="240" w:lineRule="auto"/>
        <w:ind w:firstLine="709"/>
        <w:jc w:val="both"/>
        <w:rPr>
          <w:rFonts w:ascii="Arial" w:hAnsi="Arial" w:cs="Arial"/>
          <w:b/>
          <w:sz w:val="24"/>
          <w:szCs w:val="24"/>
        </w:rPr>
      </w:pPr>
      <w:r w:rsidRPr="000675F9">
        <w:rPr>
          <w:rFonts w:ascii="Arial" w:hAnsi="Arial" w:cs="Arial"/>
          <w:b/>
          <w:sz w:val="24"/>
          <w:szCs w:val="24"/>
        </w:rPr>
        <w:t>A. DÜNYA EKONOMİSİ</w:t>
      </w:r>
      <w:r w:rsidRPr="000675F9">
        <w:rPr>
          <w:rFonts w:ascii="Arial" w:hAnsi="Arial" w:cs="Arial"/>
          <w:b/>
          <w:sz w:val="24"/>
          <w:szCs w:val="24"/>
        </w:rPr>
        <w:tab/>
      </w:r>
    </w:p>
    <w:p w:rsidR="001F6D57" w:rsidRPr="00286682" w:rsidRDefault="001F6D57"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 xml:space="preserve">ABD ekonomisi </w:t>
      </w:r>
      <w:r w:rsidRPr="000C2346">
        <w:rPr>
          <w:rFonts w:ascii="Arial" w:hAnsi="Arial" w:cs="Arial"/>
          <w:sz w:val="24"/>
          <w:szCs w:val="24"/>
        </w:rPr>
        <w:t xml:space="preserve">2012 yılında </w:t>
      </w:r>
      <w:r w:rsidRPr="00286682">
        <w:rPr>
          <w:rFonts w:ascii="Arial" w:hAnsi="Arial" w:cs="Arial"/>
          <w:sz w:val="24"/>
          <w:szCs w:val="24"/>
        </w:rPr>
        <w:t xml:space="preserve">yüzde </w:t>
      </w:r>
      <w:r w:rsidR="00963058" w:rsidRPr="00286682">
        <w:rPr>
          <w:rFonts w:ascii="Arial" w:hAnsi="Arial" w:cs="Arial"/>
          <w:sz w:val="24"/>
          <w:szCs w:val="24"/>
        </w:rPr>
        <w:t>2,8</w:t>
      </w:r>
      <w:r w:rsidRPr="00286682">
        <w:rPr>
          <w:rFonts w:ascii="Arial" w:hAnsi="Arial" w:cs="Arial"/>
          <w:sz w:val="24"/>
          <w:szCs w:val="24"/>
        </w:rPr>
        <w:t xml:space="preserve"> oranında büyümüştür. 2013 yılının ilk yarısından itibaren tüketici güveni, istihdam, konut piyasaları, vergi gelirleri, diğer öncü göstergelerde yaşanan olumlu gelişmeler ve 2013 yılının ilk yarısına ait GSYH verileri ABD ekonomisinde toparlanma eğiliminin devam ettiğine işaret etmektedir. Ancak, ABD ekonomisinde ciddi bir mali </w:t>
      </w:r>
      <w:proofErr w:type="gramStart"/>
      <w:r w:rsidRPr="00286682">
        <w:rPr>
          <w:rFonts w:ascii="Arial" w:hAnsi="Arial" w:cs="Arial"/>
          <w:sz w:val="24"/>
          <w:szCs w:val="24"/>
        </w:rPr>
        <w:t>konsolidasyon</w:t>
      </w:r>
      <w:proofErr w:type="gramEnd"/>
      <w:r w:rsidRPr="00286682">
        <w:rPr>
          <w:rFonts w:ascii="Arial" w:hAnsi="Arial" w:cs="Arial"/>
          <w:sz w:val="24"/>
          <w:szCs w:val="24"/>
        </w:rPr>
        <w:t xml:space="preserve"> ihtiyacı devam etmektedir. IMF geçen yıldan beri ABD ekonomisi için yaptığı büyüme tahminlerini devamlı olarak aşağı yönlü revize etmiş ve Temmuz ayında yapılan IMF tahminlerinde 2013 ve 2014 yılları için ABD büyümesi sırasıyla yüzde </w:t>
      </w:r>
      <w:r w:rsidR="00963058" w:rsidRPr="00286682">
        <w:rPr>
          <w:rFonts w:ascii="Arial" w:hAnsi="Arial" w:cs="Arial"/>
          <w:sz w:val="24"/>
          <w:szCs w:val="24"/>
        </w:rPr>
        <w:t>1,6</w:t>
      </w:r>
      <w:r w:rsidRPr="00286682">
        <w:rPr>
          <w:rFonts w:ascii="Arial" w:hAnsi="Arial" w:cs="Arial"/>
          <w:sz w:val="24"/>
          <w:szCs w:val="24"/>
        </w:rPr>
        <w:t xml:space="preserve"> ve yüzde </w:t>
      </w:r>
      <w:r w:rsidR="00963058" w:rsidRPr="00286682">
        <w:rPr>
          <w:rFonts w:ascii="Arial" w:hAnsi="Arial" w:cs="Arial"/>
          <w:sz w:val="24"/>
          <w:szCs w:val="24"/>
        </w:rPr>
        <w:t>2,6</w:t>
      </w:r>
      <w:r w:rsidRPr="00286682">
        <w:rPr>
          <w:rFonts w:ascii="Arial" w:hAnsi="Arial" w:cs="Arial"/>
          <w:sz w:val="24"/>
          <w:szCs w:val="24"/>
        </w:rPr>
        <w:t xml:space="preserve"> olarak tahmin edilmiştir.</w:t>
      </w:r>
      <w:r w:rsidRPr="00286682">
        <w:rPr>
          <w:vertAlign w:val="superscript"/>
        </w:rPr>
        <w:footnoteReference w:id="1"/>
      </w:r>
    </w:p>
    <w:p w:rsidR="001F6D57" w:rsidRPr="00BE09F1" w:rsidRDefault="001F6D57"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86682">
        <w:rPr>
          <w:rFonts w:ascii="Arial" w:hAnsi="Arial" w:cs="Arial"/>
          <w:sz w:val="24"/>
          <w:szCs w:val="24"/>
        </w:rPr>
        <w:t xml:space="preserve">IMF </w:t>
      </w:r>
      <w:r w:rsidR="00B8129E" w:rsidRPr="00286682">
        <w:rPr>
          <w:rFonts w:ascii="Arial" w:hAnsi="Arial" w:cs="Arial"/>
          <w:sz w:val="24"/>
          <w:szCs w:val="24"/>
        </w:rPr>
        <w:t>değerlendirmesine</w:t>
      </w:r>
      <w:r w:rsidRPr="00286682">
        <w:rPr>
          <w:rFonts w:ascii="Arial" w:hAnsi="Arial" w:cs="Arial"/>
          <w:sz w:val="24"/>
          <w:szCs w:val="24"/>
        </w:rPr>
        <w:t xml:space="preserve"> göre, ABD Merkez Bankasının niceliksel gevşeme politikaları dünya hasılasını yüzde 1’in üzerinde artırmıştır. Genişlemeci para politikaları küresel krizin daha da derinleşmesini engellemiş, finansal piyasalarda dalgalanmayı azaltmış ve ekonomik aktivitenin canlanmasına katkı sağlamıştır. Böylece politika yapıcılara yapısal reformların uygulanması için zaman ve manevra alanı yaratılmıştır. Ancak, bu politikalar </w:t>
      </w:r>
      <w:r w:rsidR="005C042B" w:rsidRPr="00286682">
        <w:rPr>
          <w:rFonts w:ascii="Arial" w:hAnsi="Arial" w:cs="Arial"/>
          <w:sz w:val="24"/>
          <w:szCs w:val="24"/>
        </w:rPr>
        <w:t>ABD Merkez B</w:t>
      </w:r>
      <w:r w:rsidR="005C042B">
        <w:rPr>
          <w:rFonts w:ascii="Arial" w:hAnsi="Arial" w:cs="Arial"/>
          <w:sz w:val="24"/>
          <w:szCs w:val="24"/>
        </w:rPr>
        <w:t>ankası</w:t>
      </w:r>
      <w:r w:rsidRPr="001F6D57">
        <w:rPr>
          <w:rFonts w:ascii="Arial" w:hAnsi="Arial" w:cs="Arial"/>
          <w:sz w:val="24"/>
          <w:szCs w:val="24"/>
        </w:rPr>
        <w:t>n</w:t>
      </w:r>
      <w:r w:rsidR="005C042B">
        <w:rPr>
          <w:rFonts w:ascii="Arial" w:hAnsi="Arial" w:cs="Arial"/>
          <w:sz w:val="24"/>
          <w:szCs w:val="24"/>
        </w:rPr>
        <w:t>ın</w:t>
      </w:r>
      <w:r w:rsidRPr="001F6D57">
        <w:rPr>
          <w:rFonts w:ascii="Arial" w:hAnsi="Arial" w:cs="Arial"/>
          <w:sz w:val="24"/>
          <w:szCs w:val="24"/>
        </w:rPr>
        <w:t xml:space="preserve"> bilançosunun aşırı </w:t>
      </w:r>
      <w:r w:rsidR="00B8129E">
        <w:rPr>
          <w:rFonts w:ascii="Arial" w:hAnsi="Arial" w:cs="Arial"/>
          <w:sz w:val="24"/>
          <w:szCs w:val="24"/>
        </w:rPr>
        <w:t>büyü</w:t>
      </w:r>
      <w:r w:rsidRPr="001F6D57">
        <w:rPr>
          <w:rFonts w:ascii="Arial" w:hAnsi="Arial" w:cs="Arial"/>
          <w:sz w:val="24"/>
          <w:szCs w:val="24"/>
        </w:rPr>
        <w:t xml:space="preserve">mesine yol açmış ve ABD’de ekonomik canlanmanın başlamasıyla birlikte, bu politikalardan çıkış gündeme gelmiştir. </w:t>
      </w:r>
    </w:p>
    <w:p w:rsidR="001F6D57" w:rsidRDefault="001F6D57"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1D341A">
        <w:rPr>
          <w:rFonts w:ascii="Arial" w:hAnsi="Arial" w:cs="Arial"/>
          <w:sz w:val="24"/>
          <w:szCs w:val="24"/>
        </w:rPr>
        <w:t xml:space="preserve">22 Mayıs 2013 tarihinde </w:t>
      </w:r>
      <w:r w:rsidR="005C042B">
        <w:rPr>
          <w:rFonts w:ascii="Arial" w:hAnsi="Arial" w:cs="Arial"/>
          <w:sz w:val="24"/>
          <w:szCs w:val="24"/>
        </w:rPr>
        <w:t>ABD Merkez Bankası</w:t>
      </w:r>
      <w:r>
        <w:rPr>
          <w:rFonts w:ascii="Arial" w:hAnsi="Arial" w:cs="Arial"/>
          <w:sz w:val="24"/>
          <w:szCs w:val="24"/>
        </w:rPr>
        <w:t>,</w:t>
      </w:r>
      <w:r w:rsidRPr="001D341A">
        <w:rPr>
          <w:rFonts w:ascii="Arial" w:hAnsi="Arial" w:cs="Arial"/>
          <w:sz w:val="24"/>
          <w:szCs w:val="24"/>
        </w:rPr>
        <w:t xml:space="preserve"> ekonomide istikrarlı bir büyüme görülmesi durumunda tahvil alımlarını </w:t>
      </w:r>
      <w:r>
        <w:rPr>
          <w:rFonts w:ascii="Arial" w:hAnsi="Arial" w:cs="Arial"/>
          <w:sz w:val="24"/>
          <w:szCs w:val="24"/>
        </w:rPr>
        <w:t xml:space="preserve">azaltacağını açıklamıştır. </w:t>
      </w:r>
      <w:r w:rsidR="00B8129E">
        <w:rPr>
          <w:rFonts w:ascii="Arial" w:hAnsi="Arial" w:cs="Arial"/>
          <w:sz w:val="24"/>
          <w:szCs w:val="24"/>
        </w:rPr>
        <w:t>Ancak,</w:t>
      </w:r>
      <w:r w:rsidRPr="001D341A">
        <w:rPr>
          <w:rFonts w:ascii="Arial" w:hAnsi="Arial" w:cs="Arial"/>
          <w:sz w:val="24"/>
          <w:szCs w:val="24"/>
        </w:rPr>
        <w:t xml:space="preserve"> </w:t>
      </w:r>
      <w:r>
        <w:rPr>
          <w:rFonts w:ascii="Arial" w:hAnsi="Arial" w:cs="Arial"/>
          <w:sz w:val="24"/>
          <w:szCs w:val="24"/>
        </w:rPr>
        <w:t>genişlemeci</w:t>
      </w:r>
      <w:r w:rsidRPr="001D341A">
        <w:rPr>
          <w:rFonts w:ascii="Arial" w:hAnsi="Arial" w:cs="Arial"/>
          <w:sz w:val="24"/>
          <w:szCs w:val="24"/>
        </w:rPr>
        <w:t xml:space="preserve"> para politikalarına, işsizlik oranı yüzde 6,5 seviyesin</w:t>
      </w:r>
      <w:r>
        <w:rPr>
          <w:rFonts w:ascii="Arial" w:hAnsi="Arial" w:cs="Arial"/>
          <w:sz w:val="24"/>
          <w:szCs w:val="24"/>
        </w:rPr>
        <w:t>e</w:t>
      </w:r>
      <w:r w:rsidRPr="001D341A">
        <w:rPr>
          <w:rFonts w:ascii="Arial" w:hAnsi="Arial" w:cs="Arial"/>
          <w:sz w:val="24"/>
          <w:szCs w:val="24"/>
        </w:rPr>
        <w:t xml:space="preserve"> düşünceye kadar ve enflasyon oranı</w:t>
      </w:r>
      <w:r w:rsidR="0068243C">
        <w:rPr>
          <w:rFonts w:ascii="Arial" w:hAnsi="Arial" w:cs="Arial"/>
          <w:sz w:val="24"/>
          <w:szCs w:val="24"/>
        </w:rPr>
        <w:t xml:space="preserve"> ve beklentileri</w:t>
      </w:r>
      <w:r w:rsidRPr="001D341A">
        <w:rPr>
          <w:rFonts w:ascii="Arial" w:hAnsi="Arial" w:cs="Arial"/>
          <w:sz w:val="24"/>
          <w:szCs w:val="24"/>
        </w:rPr>
        <w:t xml:space="preserve"> yüzde 2,5 seviyesini a</w:t>
      </w:r>
      <w:r>
        <w:rPr>
          <w:rFonts w:ascii="Arial" w:hAnsi="Arial" w:cs="Arial"/>
          <w:sz w:val="24"/>
          <w:szCs w:val="24"/>
        </w:rPr>
        <w:t>şmadığı sürece devam edileceği belirtilmiştir</w:t>
      </w:r>
      <w:r w:rsidRPr="001D341A">
        <w:rPr>
          <w:rFonts w:ascii="Arial" w:hAnsi="Arial" w:cs="Arial"/>
          <w:sz w:val="24"/>
          <w:szCs w:val="24"/>
        </w:rPr>
        <w:t>.</w:t>
      </w:r>
      <w:r>
        <w:rPr>
          <w:rFonts w:ascii="Arial" w:hAnsi="Arial" w:cs="Arial"/>
          <w:sz w:val="24"/>
          <w:szCs w:val="24"/>
        </w:rPr>
        <w:t xml:space="preserve"> </w:t>
      </w:r>
      <w:r w:rsidR="005C042B">
        <w:rPr>
          <w:rFonts w:ascii="Arial" w:hAnsi="Arial" w:cs="Arial"/>
          <w:sz w:val="24"/>
          <w:szCs w:val="24"/>
        </w:rPr>
        <w:t>ABD Merkez Bankasının</w:t>
      </w:r>
      <w:r w:rsidRPr="001D341A">
        <w:rPr>
          <w:rFonts w:ascii="Arial" w:hAnsi="Arial" w:cs="Arial"/>
          <w:sz w:val="24"/>
          <w:szCs w:val="24"/>
        </w:rPr>
        <w:t xml:space="preserve"> 22 Mayıs ve 19 Haziran 2013 tarihindeki açıklamaları piyasalar tarafından</w:t>
      </w:r>
      <w:r>
        <w:rPr>
          <w:rFonts w:ascii="Arial" w:hAnsi="Arial" w:cs="Arial"/>
          <w:sz w:val="24"/>
          <w:szCs w:val="24"/>
        </w:rPr>
        <w:t xml:space="preserve"> genişlemeci para politikasından çıkış sinyali olarak algılanmıştır. Bu </w:t>
      </w:r>
      <w:r w:rsidR="0068243C">
        <w:rPr>
          <w:rFonts w:ascii="Arial" w:hAnsi="Arial" w:cs="Arial"/>
          <w:sz w:val="24"/>
          <w:szCs w:val="24"/>
        </w:rPr>
        <w:t xml:space="preserve">süreçte, </w:t>
      </w:r>
      <w:r>
        <w:rPr>
          <w:rFonts w:ascii="Arial" w:hAnsi="Arial" w:cs="Arial"/>
          <w:sz w:val="24"/>
          <w:szCs w:val="24"/>
        </w:rPr>
        <w:t>g</w:t>
      </w:r>
      <w:r w:rsidRPr="000C2346">
        <w:rPr>
          <w:rFonts w:ascii="Arial" w:hAnsi="Arial" w:cs="Arial"/>
          <w:sz w:val="24"/>
          <w:szCs w:val="24"/>
        </w:rPr>
        <w:t>elişmekte olan ekonomilerden sermaye çıkışları</w:t>
      </w:r>
      <w:r w:rsidR="005C042B">
        <w:rPr>
          <w:rFonts w:ascii="Arial" w:hAnsi="Arial" w:cs="Arial"/>
          <w:sz w:val="24"/>
          <w:szCs w:val="24"/>
        </w:rPr>
        <w:t xml:space="preserve"> </w:t>
      </w:r>
      <w:r w:rsidR="0068243C">
        <w:rPr>
          <w:rFonts w:ascii="Arial" w:hAnsi="Arial" w:cs="Arial"/>
          <w:sz w:val="24"/>
          <w:szCs w:val="24"/>
        </w:rPr>
        <w:t xml:space="preserve">yaşanmış, bu ülkelerde tahvil faiz oranları artmış, borsalar ve </w:t>
      </w:r>
      <w:r>
        <w:rPr>
          <w:rFonts w:ascii="Arial" w:hAnsi="Arial" w:cs="Arial"/>
          <w:sz w:val="24"/>
          <w:szCs w:val="24"/>
        </w:rPr>
        <w:t>ulusal</w:t>
      </w:r>
      <w:r w:rsidRPr="000C2346">
        <w:rPr>
          <w:rFonts w:ascii="Arial" w:hAnsi="Arial" w:cs="Arial"/>
          <w:sz w:val="24"/>
          <w:szCs w:val="24"/>
        </w:rPr>
        <w:t xml:space="preserve"> para birimleri</w:t>
      </w:r>
      <w:r w:rsidR="005C042B">
        <w:rPr>
          <w:rFonts w:ascii="Arial" w:hAnsi="Arial" w:cs="Arial"/>
          <w:sz w:val="24"/>
          <w:szCs w:val="24"/>
        </w:rPr>
        <w:t xml:space="preserve"> </w:t>
      </w:r>
      <w:r w:rsidRPr="000C2346">
        <w:rPr>
          <w:rFonts w:ascii="Arial" w:hAnsi="Arial" w:cs="Arial"/>
          <w:sz w:val="24"/>
          <w:szCs w:val="24"/>
        </w:rPr>
        <w:t>değer kayb</w:t>
      </w:r>
      <w:r w:rsidR="0068243C">
        <w:rPr>
          <w:rFonts w:ascii="Arial" w:hAnsi="Arial" w:cs="Arial"/>
          <w:sz w:val="24"/>
          <w:szCs w:val="24"/>
        </w:rPr>
        <w:t>etmiştir.</w:t>
      </w:r>
      <w:r w:rsidRPr="00667AE5">
        <w:rPr>
          <w:rFonts w:ascii="Arial" w:hAnsi="Arial" w:cs="Arial"/>
          <w:sz w:val="24"/>
          <w:szCs w:val="24"/>
        </w:rPr>
        <w:t xml:space="preserve"> </w:t>
      </w:r>
    </w:p>
    <w:p w:rsidR="001F6D57" w:rsidRDefault="00E02426"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 xml:space="preserve">2012 yılında yüzde </w:t>
      </w:r>
      <w:r w:rsidRPr="00286682">
        <w:rPr>
          <w:rFonts w:ascii="Arial" w:hAnsi="Arial" w:cs="Arial"/>
          <w:sz w:val="24"/>
          <w:szCs w:val="24"/>
        </w:rPr>
        <w:t>0,6</w:t>
      </w:r>
      <w:r>
        <w:rPr>
          <w:rFonts w:ascii="Arial" w:hAnsi="Arial" w:cs="Arial"/>
          <w:sz w:val="24"/>
          <w:szCs w:val="24"/>
        </w:rPr>
        <w:t xml:space="preserve"> oranında daralan </w:t>
      </w:r>
      <w:r w:rsidR="001F6D57">
        <w:rPr>
          <w:rFonts w:ascii="Arial" w:hAnsi="Arial" w:cs="Arial"/>
          <w:sz w:val="24"/>
          <w:szCs w:val="24"/>
        </w:rPr>
        <w:t>Avro Bölgesinde</w:t>
      </w:r>
      <w:r>
        <w:rPr>
          <w:rFonts w:ascii="Arial" w:hAnsi="Arial" w:cs="Arial"/>
          <w:sz w:val="24"/>
          <w:szCs w:val="24"/>
        </w:rPr>
        <w:t>ki</w:t>
      </w:r>
      <w:r w:rsidR="001F6D57">
        <w:rPr>
          <w:rFonts w:ascii="Arial" w:hAnsi="Arial" w:cs="Arial"/>
          <w:sz w:val="24"/>
          <w:szCs w:val="24"/>
        </w:rPr>
        <w:t xml:space="preserve"> </w:t>
      </w:r>
      <w:r w:rsidR="001F6D57" w:rsidRPr="000C2346">
        <w:rPr>
          <w:rFonts w:ascii="Arial" w:hAnsi="Arial" w:cs="Arial"/>
          <w:sz w:val="24"/>
          <w:szCs w:val="24"/>
        </w:rPr>
        <w:t>zayıf ekonomik</w:t>
      </w:r>
      <w:r w:rsidR="001F6D57">
        <w:rPr>
          <w:rFonts w:ascii="Arial" w:hAnsi="Arial" w:cs="Arial"/>
          <w:sz w:val="24"/>
          <w:szCs w:val="24"/>
        </w:rPr>
        <w:t xml:space="preserve"> görünüm</w:t>
      </w:r>
      <w:r w:rsidR="001F6D57" w:rsidRPr="000C2346">
        <w:rPr>
          <w:rFonts w:ascii="Arial" w:hAnsi="Arial" w:cs="Arial"/>
          <w:sz w:val="24"/>
          <w:szCs w:val="24"/>
        </w:rPr>
        <w:t xml:space="preserve"> </w:t>
      </w:r>
      <w:r>
        <w:rPr>
          <w:rFonts w:ascii="Arial" w:hAnsi="Arial" w:cs="Arial"/>
          <w:sz w:val="24"/>
          <w:szCs w:val="24"/>
        </w:rPr>
        <w:t>devam etmektedir.</w:t>
      </w:r>
      <w:r w:rsidR="001F6D57" w:rsidRPr="000C2346">
        <w:rPr>
          <w:rFonts w:ascii="Arial" w:hAnsi="Arial" w:cs="Arial"/>
          <w:sz w:val="24"/>
          <w:szCs w:val="24"/>
        </w:rPr>
        <w:t xml:space="preserve"> Avrupa Merkez Bankası</w:t>
      </w:r>
      <w:r w:rsidR="001F6D57">
        <w:rPr>
          <w:rFonts w:ascii="Arial" w:hAnsi="Arial" w:cs="Arial"/>
          <w:sz w:val="24"/>
          <w:szCs w:val="24"/>
        </w:rPr>
        <w:t>nın</w:t>
      </w:r>
      <w:r w:rsidR="001F6D57" w:rsidRPr="000C2346">
        <w:rPr>
          <w:rFonts w:ascii="Arial" w:hAnsi="Arial" w:cs="Arial"/>
          <w:sz w:val="24"/>
          <w:szCs w:val="24"/>
        </w:rPr>
        <w:t xml:space="preserve"> </w:t>
      </w:r>
      <w:r w:rsidR="001F6D57">
        <w:rPr>
          <w:rFonts w:ascii="Arial" w:hAnsi="Arial" w:cs="Arial"/>
          <w:sz w:val="24"/>
          <w:szCs w:val="24"/>
        </w:rPr>
        <w:t xml:space="preserve">uyguladığı geleneksel olmayan parasal önlemlere ve </w:t>
      </w:r>
      <w:r w:rsidR="001F6D57" w:rsidRPr="000C2346">
        <w:rPr>
          <w:rFonts w:ascii="Arial" w:hAnsi="Arial" w:cs="Arial"/>
          <w:sz w:val="24"/>
          <w:szCs w:val="24"/>
        </w:rPr>
        <w:t>reform</w:t>
      </w:r>
      <w:r>
        <w:rPr>
          <w:rFonts w:ascii="Arial" w:hAnsi="Arial" w:cs="Arial"/>
          <w:sz w:val="24"/>
          <w:szCs w:val="24"/>
        </w:rPr>
        <w:t xml:space="preserve"> çabalarına</w:t>
      </w:r>
      <w:r w:rsidR="001F6D57" w:rsidRPr="000C2346">
        <w:rPr>
          <w:rFonts w:ascii="Arial" w:hAnsi="Arial" w:cs="Arial"/>
          <w:sz w:val="24"/>
          <w:szCs w:val="24"/>
        </w:rPr>
        <w:t xml:space="preserve"> rağmen güven ortamı tesis edil</w:t>
      </w:r>
      <w:r w:rsidR="001F6D57">
        <w:rPr>
          <w:rFonts w:ascii="Arial" w:hAnsi="Arial" w:cs="Arial"/>
          <w:sz w:val="24"/>
          <w:szCs w:val="24"/>
        </w:rPr>
        <w:t>e</w:t>
      </w:r>
      <w:r w:rsidR="001F6D57" w:rsidRPr="000C2346">
        <w:rPr>
          <w:rFonts w:ascii="Arial" w:hAnsi="Arial" w:cs="Arial"/>
          <w:sz w:val="24"/>
          <w:szCs w:val="24"/>
        </w:rPr>
        <w:t>memiş ve finansal istikrar sağlanamamıştır. Avro Bölgesinde yüksek kamu borçları</w:t>
      </w:r>
      <w:r w:rsidR="0068243C">
        <w:rPr>
          <w:rFonts w:ascii="Arial" w:hAnsi="Arial" w:cs="Arial"/>
          <w:sz w:val="24"/>
          <w:szCs w:val="24"/>
        </w:rPr>
        <w:t xml:space="preserve">, </w:t>
      </w:r>
      <w:r w:rsidR="001F6D57" w:rsidRPr="000C2346">
        <w:rPr>
          <w:rFonts w:ascii="Arial" w:hAnsi="Arial" w:cs="Arial"/>
          <w:sz w:val="24"/>
          <w:szCs w:val="24"/>
        </w:rPr>
        <w:t xml:space="preserve">zayıf bankacılık </w:t>
      </w:r>
      <w:r w:rsidR="0068243C">
        <w:rPr>
          <w:rFonts w:ascii="Arial" w:hAnsi="Arial" w:cs="Arial"/>
          <w:sz w:val="24"/>
          <w:szCs w:val="24"/>
        </w:rPr>
        <w:t xml:space="preserve">ve düşük büyüme </w:t>
      </w:r>
      <w:r w:rsidR="001F6D57" w:rsidRPr="000C2346">
        <w:rPr>
          <w:rFonts w:ascii="Arial" w:hAnsi="Arial" w:cs="Arial"/>
          <w:sz w:val="24"/>
          <w:szCs w:val="24"/>
        </w:rPr>
        <w:t xml:space="preserve">arasındaki negatif geri besleme mekanizması kırılamamıştır. </w:t>
      </w:r>
      <w:r w:rsidR="001F6D57">
        <w:rPr>
          <w:rFonts w:ascii="Arial" w:hAnsi="Arial" w:cs="Arial"/>
          <w:sz w:val="24"/>
          <w:szCs w:val="24"/>
        </w:rPr>
        <w:t xml:space="preserve">Mali </w:t>
      </w:r>
      <w:proofErr w:type="gramStart"/>
      <w:r w:rsidR="001F6D57">
        <w:rPr>
          <w:rFonts w:ascii="Arial" w:hAnsi="Arial" w:cs="Arial"/>
          <w:sz w:val="24"/>
          <w:szCs w:val="24"/>
        </w:rPr>
        <w:t>konsolidasyon</w:t>
      </w:r>
      <w:proofErr w:type="gramEnd"/>
      <w:r w:rsidR="001F6D57" w:rsidRPr="000C2346">
        <w:rPr>
          <w:rFonts w:ascii="Arial" w:hAnsi="Arial" w:cs="Arial"/>
          <w:sz w:val="24"/>
          <w:szCs w:val="24"/>
        </w:rPr>
        <w:t xml:space="preserve">, düşük büyüme, erişilemeyen mali hedefler ve daha fazla </w:t>
      </w:r>
      <w:r w:rsidR="001F6D57">
        <w:rPr>
          <w:rFonts w:ascii="Arial" w:hAnsi="Arial" w:cs="Arial"/>
          <w:sz w:val="24"/>
          <w:szCs w:val="24"/>
        </w:rPr>
        <w:t>mali konsolidasyon kısır döngüsüne</w:t>
      </w:r>
      <w:r w:rsidR="001F6D57" w:rsidRPr="000C2346">
        <w:rPr>
          <w:rFonts w:ascii="Arial" w:hAnsi="Arial" w:cs="Arial"/>
          <w:sz w:val="24"/>
          <w:szCs w:val="24"/>
        </w:rPr>
        <w:t xml:space="preserve"> gir</w:t>
      </w:r>
      <w:r w:rsidR="001F6D57">
        <w:rPr>
          <w:rFonts w:ascii="Arial" w:hAnsi="Arial" w:cs="Arial"/>
          <w:sz w:val="24"/>
          <w:szCs w:val="24"/>
        </w:rPr>
        <w:t>ilmiştir. K</w:t>
      </w:r>
      <w:r w:rsidR="001F6D57" w:rsidRPr="000C2346">
        <w:rPr>
          <w:rFonts w:ascii="Arial" w:hAnsi="Arial" w:cs="Arial"/>
          <w:sz w:val="24"/>
          <w:szCs w:val="24"/>
        </w:rPr>
        <w:t>arar alma süreçlerin</w:t>
      </w:r>
      <w:r w:rsidR="001F6D57">
        <w:rPr>
          <w:rFonts w:ascii="Arial" w:hAnsi="Arial" w:cs="Arial"/>
          <w:sz w:val="24"/>
          <w:szCs w:val="24"/>
        </w:rPr>
        <w:t xml:space="preserve">de yaşanan gecikmeler </w:t>
      </w:r>
      <w:r w:rsidR="001F6D57" w:rsidRPr="000C2346">
        <w:rPr>
          <w:rFonts w:ascii="Arial" w:hAnsi="Arial" w:cs="Arial"/>
          <w:sz w:val="24"/>
          <w:szCs w:val="24"/>
        </w:rPr>
        <w:t xml:space="preserve">ve </w:t>
      </w:r>
      <w:r w:rsidR="001F6D57">
        <w:rPr>
          <w:rFonts w:ascii="Arial" w:hAnsi="Arial" w:cs="Arial"/>
          <w:sz w:val="24"/>
          <w:szCs w:val="24"/>
        </w:rPr>
        <w:t>parasal b</w:t>
      </w:r>
      <w:r w:rsidR="001F6D57" w:rsidRPr="000C2346">
        <w:rPr>
          <w:rFonts w:ascii="Arial" w:hAnsi="Arial" w:cs="Arial"/>
          <w:sz w:val="24"/>
          <w:szCs w:val="24"/>
        </w:rPr>
        <w:t>irliğin geleceğine yönelik belirsizlikler</w:t>
      </w:r>
      <w:r w:rsidR="001F6D57">
        <w:rPr>
          <w:rFonts w:ascii="Arial" w:hAnsi="Arial" w:cs="Arial"/>
          <w:sz w:val="24"/>
          <w:szCs w:val="24"/>
        </w:rPr>
        <w:t>, Bölgede</w:t>
      </w:r>
      <w:r w:rsidR="001F6D57" w:rsidRPr="000C2346">
        <w:rPr>
          <w:rFonts w:ascii="Arial" w:hAnsi="Arial" w:cs="Arial"/>
          <w:sz w:val="24"/>
          <w:szCs w:val="24"/>
        </w:rPr>
        <w:t xml:space="preserve"> yatırımları ve büyümeyi olumsuz etkilem</w:t>
      </w:r>
      <w:r w:rsidR="001F6D57">
        <w:rPr>
          <w:rFonts w:ascii="Arial" w:hAnsi="Arial" w:cs="Arial"/>
          <w:sz w:val="24"/>
          <w:szCs w:val="24"/>
        </w:rPr>
        <w:t>iştir. Avro Bölgesi büyüme tahminleri de aşağı yönlü revize edilmektedir. 2013 yılın</w:t>
      </w:r>
      <w:r>
        <w:rPr>
          <w:rFonts w:ascii="Arial" w:hAnsi="Arial" w:cs="Arial"/>
          <w:sz w:val="24"/>
          <w:szCs w:val="24"/>
        </w:rPr>
        <w:t xml:space="preserve">ın ikinci çeyreğinde ilk çeyreğe göre yüzde 0,3 oranında büyüme gerçekleşmiştir. Buna rağmen yılın tamamında </w:t>
      </w:r>
      <w:r w:rsidR="001F6D57">
        <w:rPr>
          <w:rFonts w:ascii="Arial" w:hAnsi="Arial" w:cs="Arial"/>
          <w:sz w:val="24"/>
          <w:szCs w:val="24"/>
        </w:rPr>
        <w:t xml:space="preserve">Avro Bölgesinin </w:t>
      </w:r>
      <w:r w:rsidR="001F6D57" w:rsidRPr="000C2346">
        <w:rPr>
          <w:rFonts w:ascii="Arial" w:hAnsi="Arial" w:cs="Arial"/>
          <w:sz w:val="24"/>
          <w:szCs w:val="24"/>
        </w:rPr>
        <w:t>yüz</w:t>
      </w:r>
      <w:r w:rsidR="001F6D57">
        <w:rPr>
          <w:rFonts w:ascii="Arial" w:hAnsi="Arial" w:cs="Arial"/>
          <w:sz w:val="24"/>
          <w:szCs w:val="24"/>
        </w:rPr>
        <w:t xml:space="preserve">de </w:t>
      </w:r>
      <w:r w:rsidR="00963058" w:rsidRPr="00286682">
        <w:rPr>
          <w:rFonts w:ascii="Arial" w:hAnsi="Arial" w:cs="Arial"/>
          <w:sz w:val="24"/>
          <w:szCs w:val="24"/>
        </w:rPr>
        <w:t>0,4</w:t>
      </w:r>
      <w:r w:rsidR="001F6D57">
        <w:rPr>
          <w:rFonts w:ascii="Arial" w:hAnsi="Arial" w:cs="Arial"/>
          <w:sz w:val="24"/>
          <w:szCs w:val="24"/>
        </w:rPr>
        <w:t xml:space="preserve"> oranında daralması beklen</w:t>
      </w:r>
      <w:r>
        <w:rPr>
          <w:rFonts w:ascii="Arial" w:hAnsi="Arial" w:cs="Arial"/>
          <w:sz w:val="24"/>
          <w:szCs w:val="24"/>
        </w:rPr>
        <w:t>mektedir.</w:t>
      </w:r>
      <w:r w:rsidR="001F6D57">
        <w:rPr>
          <w:rFonts w:ascii="Arial" w:hAnsi="Arial" w:cs="Arial"/>
          <w:sz w:val="24"/>
          <w:szCs w:val="24"/>
        </w:rPr>
        <w:t xml:space="preserve"> </w:t>
      </w:r>
      <w:r w:rsidR="004F4C14">
        <w:rPr>
          <w:rFonts w:ascii="Arial" w:hAnsi="Arial" w:cs="Arial"/>
          <w:sz w:val="24"/>
          <w:szCs w:val="24"/>
        </w:rPr>
        <w:t xml:space="preserve">Bu yıl içinde başlayan toparlanma eğiliminin devam ederek, </w:t>
      </w:r>
      <w:r w:rsidR="004F4C14" w:rsidRPr="000C2346">
        <w:rPr>
          <w:rFonts w:ascii="Arial" w:hAnsi="Arial" w:cs="Arial"/>
          <w:sz w:val="24"/>
          <w:szCs w:val="24"/>
        </w:rPr>
        <w:t>2014 yılı</w:t>
      </w:r>
      <w:r w:rsidR="004F4C14">
        <w:rPr>
          <w:rFonts w:ascii="Arial" w:hAnsi="Arial" w:cs="Arial"/>
          <w:sz w:val="24"/>
          <w:szCs w:val="24"/>
        </w:rPr>
        <w:t xml:space="preserve">nda Avro bölgesinde büyümenin </w:t>
      </w:r>
      <w:r>
        <w:rPr>
          <w:rFonts w:ascii="Arial" w:hAnsi="Arial" w:cs="Arial"/>
          <w:sz w:val="24"/>
          <w:szCs w:val="24"/>
        </w:rPr>
        <w:t xml:space="preserve">yüzde </w:t>
      </w:r>
      <w:r w:rsidR="00963058" w:rsidRPr="00286682">
        <w:rPr>
          <w:rFonts w:ascii="Arial" w:hAnsi="Arial" w:cs="Arial"/>
          <w:sz w:val="24"/>
          <w:szCs w:val="24"/>
        </w:rPr>
        <w:t>1</w:t>
      </w:r>
      <w:r>
        <w:rPr>
          <w:rFonts w:ascii="Arial" w:hAnsi="Arial" w:cs="Arial"/>
          <w:sz w:val="24"/>
          <w:szCs w:val="24"/>
        </w:rPr>
        <w:t xml:space="preserve"> </w:t>
      </w:r>
      <w:r w:rsidR="001F6D57">
        <w:rPr>
          <w:rFonts w:ascii="Arial" w:hAnsi="Arial" w:cs="Arial"/>
          <w:sz w:val="24"/>
          <w:szCs w:val="24"/>
        </w:rPr>
        <w:t>oran</w:t>
      </w:r>
      <w:r>
        <w:rPr>
          <w:rFonts w:ascii="Arial" w:hAnsi="Arial" w:cs="Arial"/>
          <w:sz w:val="24"/>
          <w:szCs w:val="24"/>
        </w:rPr>
        <w:t>ın</w:t>
      </w:r>
      <w:r w:rsidR="001F6D57">
        <w:rPr>
          <w:rFonts w:ascii="Arial" w:hAnsi="Arial" w:cs="Arial"/>
          <w:sz w:val="24"/>
          <w:szCs w:val="24"/>
        </w:rPr>
        <w:t>da</w:t>
      </w:r>
      <w:r w:rsidR="001F6D57" w:rsidRPr="000C2346">
        <w:rPr>
          <w:rFonts w:ascii="Arial" w:hAnsi="Arial" w:cs="Arial"/>
          <w:sz w:val="24"/>
          <w:szCs w:val="24"/>
        </w:rPr>
        <w:t xml:space="preserve"> </w:t>
      </w:r>
      <w:r w:rsidR="004F4C14">
        <w:rPr>
          <w:rFonts w:ascii="Arial" w:hAnsi="Arial" w:cs="Arial"/>
          <w:sz w:val="24"/>
          <w:szCs w:val="24"/>
        </w:rPr>
        <w:t>olacağı</w:t>
      </w:r>
      <w:r w:rsidR="005C042B">
        <w:rPr>
          <w:rFonts w:ascii="Arial" w:hAnsi="Arial" w:cs="Arial"/>
          <w:sz w:val="24"/>
          <w:szCs w:val="24"/>
        </w:rPr>
        <w:t xml:space="preserve"> </w:t>
      </w:r>
      <w:r w:rsidR="001F6D57">
        <w:rPr>
          <w:rFonts w:ascii="Arial" w:hAnsi="Arial" w:cs="Arial"/>
          <w:sz w:val="24"/>
          <w:szCs w:val="24"/>
        </w:rPr>
        <w:t>tahmin edilmektedir.</w:t>
      </w:r>
    </w:p>
    <w:p w:rsidR="001F6D57" w:rsidRDefault="001F6D57"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K</w:t>
      </w:r>
      <w:r w:rsidRPr="000C2346">
        <w:rPr>
          <w:rFonts w:ascii="Arial" w:hAnsi="Arial" w:cs="Arial"/>
          <w:sz w:val="24"/>
          <w:szCs w:val="24"/>
        </w:rPr>
        <w:t>üresel kriz sonrasında büyüme</w:t>
      </w:r>
      <w:r>
        <w:rPr>
          <w:rFonts w:ascii="Arial" w:hAnsi="Arial" w:cs="Arial"/>
          <w:sz w:val="24"/>
          <w:szCs w:val="24"/>
        </w:rPr>
        <w:t xml:space="preserve">nin itici gücü olan gelişmekte olan ülkelerin </w:t>
      </w:r>
      <w:r w:rsidRPr="000C2346">
        <w:rPr>
          <w:rFonts w:ascii="Arial" w:hAnsi="Arial" w:cs="Arial"/>
          <w:sz w:val="24"/>
          <w:szCs w:val="24"/>
        </w:rPr>
        <w:t>büyüme hızlarında</w:t>
      </w:r>
      <w:r>
        <w:rPr>
          <w:rFonts w:ascii="Arial" w:hAnsi="Arial" w:cs="Arial"/>
          <w:sz w:val="24"/>
          <w:szCs w:val="24"/>
        </w:rPr>
        <w:t xml:space="preserve"> </w:t>
      </w:r>
      <w:r w:rsidRPr="000C2346">
        <w:rPr>
          <w:rFonts w:ascii="Arial" w:hAnsi="Arial" w:cs="Arial"/>
          <w:sz w:val="24"/>
          <w:szCs w:val="24"/>
        </w:rPr>
        <w:t>2012 yılında</w:t>
      </w:r>
      <w:r>
        <w:rPr>
          <w:rFonts w:ascii="Arial" w:hAnsi="Arial" w:cs="Arial"/>
          <w:sz w:val="24"/>
          <w:szCs w:val="24"/>
        </w:rPr>
        <w:t xml:space="preserve">n itibaren </w:t>
      </w:r>
      <w:r w:rsidRPr="000C2346">
        <w:rPr>
          <w:rFonts w:ascii="Arial" w:hAnsi="Arial" w:cs="Arial"/>
          <w:sz w:val="24"/>
          <w:szCs w:val="24"/>
        </w:rPr>
        <w:t>yavaşlama</w:t>
      </w:r>
      <w:r>
        <w:rPr>
          <w:rFonts w:ascii="Arial" w:hAnsi="Arial" w:cs="Arial"/>
          <w:sz w:val="24"/>
          <w:szCs w:val="24"/>
        </w:rPr>
        <w:t xml:space="preserve"> kaydedilmiştir. A</w:t>
      </w:r>
      <w:r w:rsidRPr="000C2346">
        <w:rPr>
          <w:rFonts w:ascii="Arial" w:hAnsi="Arial" w:cs="Arial"/>
          <w:sz w:val="24"/>
          <w:szCs w:val="24"/>
        </w:rPr>
        <w:t>zalan ihracat gelirleri</w:t>
      </w:r>
      <w:r w:rsidR="004F4C14">
        <w:rPr>
          <w:rFonts w:ascii="Arial" w:hAnsi="Arial" w:cs="Arial"/>
          <w:sz w:val="24"/>
          <w:szCs w:val="24"/>
        </w:rPr>
        <w:t>, zayıf iç talep, yapısal sorunlar</w:t>
      </w:r>
      <w:r w:rsidRPr="000C2346">
        <w:rPr>
          <w:rFonts w:ascii="Arial" w:hAnsi="Arial" w:cs="Arial"/>
          <w:sz w:val="24"/>
          <w:szCs w:val="24"/>
        </w:rPr>
        <w:t xml:space="preserve"> ve </w:t>
      </w:r>
      <w:r>
        <w:rPr>
          <w:rFonts w:ascii="Arial" w:hAnsi="Arial" w:cs="Arial"/>
          <w:sz w:val="24"/>
          <w:szCs w:val="24"/>
        </w:rPr>
        <w:t>a</w:t>
      </w:r>
      <w:r w:rsidRPr="000C2346">
        <w:rPr>
          <w:rFonts w:ascii="Arial" w:hAnsi="Arial" w:cs="Arial"/>
          <w:sz w:val="24"/>
          <w:szCs w:val="24"/>
        </w:rPr>
        <w:t xml:space="preserve">lınan </w:t>
      </w:r>
      <w:r w:rsidR="004F4C14">
        <w:rPr>
          <w:rFonts w:ascii="Arial" w:hAnsi="Arial" w:cs="Arial"/>
          <w:sz w:val="24"/>
          <w:szCs w:val="24"/>
        </w:rPr>
        <w:t xml:space="preserve">bazı </w:t>
      </w:r>
      <w:r w:rsidRPr="000C2346">
        <w:rPr>
          <w:rFonts w:ascii="Arial" w:hAnsi="Arial" w:cs="Arial"/>
          <w:sz w:val="24"/>
          <w:szCs w:val="24"/>
        </w:rPr>
        <w:t>makro ihtiyati tedbirler</w:t>
      </w:r>
      <w:r>
        <w:rPr>
          <w:rFonts w:ascii="Arial" w:hAnsi="Arial" w:cs="Arial"/>
          <w:sz w:val="24"/>
          <w:szCs w:val="24"/>
        </w:rPr>
        <w:t xml:space="preserve"> bu gelişmede etkili olmuştur. Nitekim </w:t>
      </w:r>
      <w:r w:rsidRPr="000C2346">
        <w:rPr>
          <w:rFonts w:ascii="Arial" w:hAnsi="Arial" w:cs="Arial"/>
          <w:sz w:val="24"/>
          <w:szCs w:val="24"/>
        </w:rPr>
        <w:t>kü</w:t>
      </w:r>
      <w:r>
        <w:rPr>
          <w:rFonts w:ascii="Arial" w:hAnsi="Arial" w:cs="Arial"/>
          <w:sz w:val="24"/>
          <w:szCs w:val="24"/>
        </w:rPr>
        <w:t>resel büyümeye önemli katkı veren</w:t>
      </w:r>
      <w:r w:rsidRPr="000C2346">
        <w:rPr>
          <w:rFonts w:ascii="Arial" w:hAnsi="Arial" w:cs="Arial"/>
          <w:sz w:val="24"/>
          <w:szCs w:val="24"/>
        </w:rPr>
        <w:t xml:space="preserve"> Çin’de 2012 yılında gerçekleşen yüzde </w:t>
      </w:r>
      <w:r w:rsidR="00963058" w:rsidRPr="00286682">
        <w:rPr>
          <w:rFonts w:ascii="Arial" w:hAnsi="Arial" w:cs="Arial"/>
          <w:sz w:val="24"/>
          <w:szCs w:val="24"/>
        </w:rPr>
        <w:t>7,7</w:t>
      </w:r>
      <w:r>
        <w:rPr>
          <w:rFonts w:ascii="Arial" w:hAnsi="Arial" w:cs="Arial"/>
          <w:sz w:val="24"/>
          <w:szCs w:val="24"/>
        </w:rPr>
        <w:t xml:space="preserve"> </w:t>
      </w:r>
      <w:r w:rsidRPr="000C2346">
        <w:rPr>
          <w:rFonts w:ascii="Arial" w:hAnsi="Arial" w:cs="Arial"/>
          <w:sz w:val="24"/>
          <w:szCs w:val="24"/>
        </w:rPr>
        <w:t>oran</w:t>
      </w:r>
      <w:r>
        <w:rPr>
          <w:rFonts w:ascii="Arial" w:hAnsi="Arial" w:cs="Arial"/>
          <w:sz w:val="24"/>
          <w:szCs w:val="24"/>
        </w:rPr>
        <w:t>ındaki büyüme 1999 yılından bu yana</w:t>
      </w:r>
      <w:r w:rsidRPr="000C2346">
        <w:rPr>
          <w:rFonts w:ascii="Arial" w:hAnsi="Arial" w:cs="Arial"/>
          <w:sz w:val="24"/>
          <w:szCs w:val="24"/>
        </w:rPr>
        <w:t xml:space="preserve"> kaydedilen en düşük büyüme </w:t>
      </w:r>
      <w:r>
        <w:rPr>
          <w:rFonts w:ascii="Arial" w:hAnsi="Arial" w:cs="Arial"/>
          <w:sz w:val="24"/>
          <w:szCs w:val="24"/>
        </w:rPr>
        <w:t xml:space="preserve">oranı olmuştur. </w:t>
      </w:r>
      <w:r w:rsidRPr="000C2346">
        <w:rPr>
          <w:rFonts w:ascii="Arial" w:hAnsi="Arial" w:cs="Arial"/>
          <w:sz w:val="24"/>
          <w:szCs w:val="24"/>
        </w:rPr>
        <w:t>Çin</w:t>
      </w:r>
      <w:r>
        <w:rPr>
          <w:rFonts w:ascii="Arial" w:hAnsi="Arial" w:cs="Arial"/>
          <w:sz w:val="24"/>
          <w:szCs w:val="24"/>
        </w:rPr>
        <w:t xml:space="preserve"> ekonomisindeki yapısal sorunların yavaşlamayı belirgin</w:t>
      </w:r>
      <w:r w:rsidRPr="000C2346">
        <w:rPr>
          <w:rFonts w:ascii="Arial" w:hAnsi="Arial" w:cs="Arial"/>
          <w:sz w:val="24"/>
          <w:szCs w:val="24"/>
        </w:rPr>
        <w:t>leştirmesi, bölgesel ve küresel düzeyde ekonomik büyümeyi olumsuz etkile</w:t>
      </w:r>
      <w:r>
        <w:rPr>
          <w:rFonts w:ascii="Arial" w:hAnsi="Arial" w:cs="Arial"/>
          <w:sz w:val="24"/>
          <w:szCs w:val="24"/>
        </w:rPr>
        <w:t>yebilecektir.</w:t>
      </w:r>
      <w:r w:rsidRPr="000C2346">
        <w:rPr>
          <w:rFonts w:ascii="Arial" w:hAnsi="Arial" w:cs="Arial"/>
          <w:sz w:val="24"/>
          <w:szCs w:val="24"/>
        </w:rPr>
        <w:t xml:space="preserve"> Çin’in 2013 yılında yüzde </w:t>
      </w:r>
      <w:r w:rsidR="00963058" w:rsidRPr="00286682">
        <w:rPr>
          <w:rFonts w:ascii="Arial" w:hAnsi="Arial" w:cs="Arial"/>
          <w:sz w:val="24"/>
          <w:szCs w:val="24"/>
        </w:rPr>
        <w:t>7,6</w:t>
      </w:r>
      <w:r>
        <w:rPr>
          <w:rFonts w:ascii="Arial" w:hAnsi="Arial" w:cs="Arial"/>
          <w:sz w:val="24"/>
          <w:szCs w:val="24"/>
        </w:rPr>
        <w:t xml:space="preserve"> </w:t>
      </w:r>
      <w:r w:rsidRPr="000C2346">
        <w:rPr>
          <w:rFonts w:ascii="Arial" w:hAnsi="Arial" w:cs="Arial"/>
          <w:sz w:val="24"/>
          <w:szCs w:val="24"/>
        </w:rPr>
        <w:t xml:space="preserve">ve 2014 yılında yüzde </w:t>
      </w:r>
      <w:r w:rsidRPr="00286682">
        <w:rPr>
          <w:rFonts w:ascii="Arial" w:hAnsi="Arial" w:cs="Arial"/>
          <w:sz w:val="24"/>
          <w:szCs w:val="24"/>
        </w:rPr>
        <w:t>7,</w:t>
      </w:r>
      <w:r w:rsidR="00963058" w:rsidRPr="00286682">
        <w:rPr>
          <w:rFonts w:ascii="Arial" w:hAnsi="Arial" w:cs="Arial"/>
          <w:sz w:val="24"/>
          <w:szCs w:val="24"/>
        </w:rPr>
        <w:t>3</w:t>
      </w:r>
      <w:r w:rsidRPr="000C2346">
        <w:rPr>
          <w:rFonts w:ascii="Arial" w:hAnsi="Arial" w:cs="Arial"/>
          <w:sz w:val="24"/>
          <w:szCs w:val="24"/>
        </w:rPr>
        <w:t xml:space="preserve"> oranında büyümesi beklenmektedir</w:t>
      </w:r>
      <w:r>
        <w:rPr>
          <w:rFonts w:ascii="Arial" w:hAnsi="Arial" w:cs="Arial"/>
          <w:sz w:val="24"/>
          <w:szCs w:val="24"/>
        </w:rPr>
        <w:t>.</w:t>
      </w:r>
    </w:p>
    <w:p w:rsidR="001F6D57" w:rsidRPr="00BA5C13" w:rsidRDefault="001F6D57"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1D341A">
        <w:rPr>
          <w:rFonts w:ascii="Arial" w:hAnsi="Arial" w:cs="Arial"/>
          <w:sz w:val="24"/>
          <w:szCs w:val="24"/>
        </w:rPr>
        <w:t>Küresel ekonomik aktivite</w:t>
      </w:r>
      <w:r>
        <w:rPr>
          <w:rFonts w:ascii="Arial" w:hAnsi="Arial" w:cs="Arial"/>
          <w:sz w:val="24"/>
          <w:szCs w:val="24"/>
        </w:rPr>
        <w:t>,</w:t>
      </w:r>
      <w:r w:rsidRPr="001D341A">
        <w:rPr>
          <w:rFonts w:ascii="Arial" w:hAnsi="Arial" w:cs="Arial"/>
          <w:sz w:val="24"/>
          <w:szCs w:val="24"/>
        </w:rPr>
        <w:t xml:space="preserve"> </w:t>
      </w:r>
      <w:r w:rsidRPr="000C2346">
        <w:rPr>
          <w:rFonts w:ascii="Arial" w:hAnsi="Arial" w:cs="Arial"/>
          <w:sz w:val="24"/>
          <w:szCs w:val="24"/>
        </w:rPr>
        <w:t xml:space="preserve">ABD ve Japonya gibi </w:t>
      </w:r>
      <w:r>
        <w:rPr>
          <w:rFonts w:ascii="Arial" w:hAnsi="Arial" w:cs="Arial"/>
          <w:sz w:val="24"/>
          <w:szCs w:val="24"/>
        </w:rPr>
        <w:t xml:space="preserve">gelişmiş ekonomilerde kaydedilen ılımlı iyileşmeye rağmen, </w:t>
      </w:r>
      <w:r w:rsidRPr="001D341A">
        <w:rPr>
          <w:rFonts w:ascii="Arial" w:hAnsi="Arial" w:cs="Arial"/>
          <w:sz w:val="24"/>
          <w:szCs w:val="24"/>
        </w:rPr>
        <w:t>2013 yılı</w:t>
      </w:r>
      <w:r>
        <w:rPr>
          <w:rFonts w:ascii="Arial" w:hAnsi="Arial" w:cs="Arial"/>
          <w:sz w:val="24"/>
          <w:szCs w:val="24"/>
        </w:rPr>
        <w:t>nın</w:t>
      </w:r>
      <w:r w:rsidRPr="001D341A">
        <w:rPr>
          <w:rFonts w:ascii="Arial" w:hAnsi="Arial" w:cs="Arial"/>
          <w:sz w:val="24"/>
          <w:szCs w:val="24"/>
        </w:rPr>
        <w:t xml:space="preserve"> ilk yarısında zayıf seyretmiştir. Söz konusu seyirde Avro Bölgesinde</w:t>
      </w:r>
      <w:r>
        <w:rPr>
          <w:rFonts w:ascii="Arial" w:hAnsi="Arial" w:cs="Arial"/>
          <w:sz w:val="24"/>
          <w:szCs w:val="24"/>
        </w:rPr>
        <w:t>ki zayıf ekonomik aktivite</w:t>
      </w:r>
      <w:r w:rsidRPr="001D341A">
        <w:rPr>
          <w:rFonts w:ascii="Arial" w:hAnsi="Arial" w:cs="Arial"/>
          <w:sz w:val="24"/>
          <w:szCs w:val="24"/>
        </w:rPr>
        <w:t xml:space="preserve"> </w:t>
      </w:r>
      <w:r>
        <w:rPr>
          <w:rFonts w:ascii="Arial" w:hAnsi="Arial" w:cs="Arial"/>
          <w:sz w:val="24"/>
          <w:szCs w:val="24"/>
        </w:rPr>
        <w:t xml:space="preserve">ve başta Çin olmak üzere </w:t>
      </w:r>
      <w:r w:rsidRPr="001D341A">
        <w:rPr>
          <w:rFonts w:ascii="Arial" w:hAnsi="Arial" w:cs="Arial"/>
          <w:sz w:val="24"/>
          <w:szCs w:val="24"/>
        </w:rPr>
        <w:t>gelişmekte olan ülkeler</w:t>
      </w:r>
      <w:r>
        <w:rPr>
          <w:rFonts w:ascii="Arial" w:hAnsi="Arial" w:cs="Arial"/>
          <w:sz w:val="24"/>
          <w:szCs w:val="24"/>
        </w:rPr>
        <w:t>de</w:t>
      </w:r>
      <w:r w:rsidRPr="001D341A">
        <w:rPr>
          <w:rFonts w:ascii="Arial" w:hAnsi="Arial" w:cs="Arial"/>
          <w:sz w:val="24"/>
          <w:szCs w:val="24"/>
        </w:rPr>
        <w:t xml:space="preserve"> büyüme</w:t>
      </w:r>
      <w:r>
        <w:rPr>
          <w:rFonts w:ascii="Arial" w:hAnsi="Arial" w:cs="Arial"/>
          <w:sz w:val="24"/>
          <w:szCs w:val="24"/>
        </w:rPr>
        <w:t>nin yavaşlaması</w:t>
      </w:r>
      <w:r w:rsidRPr="001D341A">
        <w:rPr>
          <w:rFonts w:ascii="Arial" w:hAnsi="Arial" w:cs="Arial"/>
          <w:sz w:val="24"/>
          <w:szCs w:val="24"/>
        </w:rPr>
        <w:t xml:space="preserve"> </w:t>
      </w:r>
      <w:r>
        <w:rPr>
          <w:rFonts w:ascii="Arial" w:hAnsi="Arial" w:cs="Arial"/>
          <w:sz w:val="24"/>
          <w:szCs w:val="24"/>
        </w:rPr>
        <w:t>belirleyici olmuştur.</w:t>
      </w:r>
    </w:p>
    <w:p w:rsidR="001F6D57" w:rsidRPr="000675F9" w:rsidRDefault="001F6D57"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0C2346">
        <w:rPr>
          <w:rFonts w:ascii="Arial" w:hAnsi="Arial" w:cs="Arial"/>
          <w:sz w:val="24"/>
          <w:szCs w:val="24"/>
        </w:rPr>
        <w:t xml:space="preserve">Dünya ekonomisinde yaşanan bu gelişmeler </w:t>
      </w:r>
      <w:r>
        <w:rPr>
          <w:rFonts w:ascii="Arial" w:hAnsi="Arial" w:cs="Arial"/>
          <w:sz w:val="24"/>
          <w:szCs w:val="24"/>
        </w:rPr>
        <w:t xml:space="preserve">ve </w:t>
      </w:r>
      <w:r w:rsidR="005C042B">
        <w:rPr>
          <w:rFonts w:ascii="Arial" w:hAnsi="Arial" w:cs="Arial"/>
          <w:sz w:val="24"/>
          <w:szCs w:val="24"/>
        </w:rPr>
        <w:t>ABD Merkez Bankası</w:t>
      </w:r>
      <w:r>
        <w:rPr>
          <w:rFonts w:ascii="Arial" w:hAnsi="Arial" w:cs="Arial"/>
          <w:sz w:val="24"/>
          <w:szCs w:val="24"/>
        </w:rPr>
        <w:t xml:space="preserve"> açıklamalarının ardından gelişmekte olan ülkelerde yaşanan finansal dalgalanma sonrasında </w:t>
      </w:r>
      <w:r w:rsidRPr="000C2346">
        <w:rPr>
          <w:rFonts w:ascii="Arial" w:hAnsi="Arial" w:cs="Arial"/>
          <w:sz w:val="24"/>
          <w:szCs w:val="24"/>
        </w:rPr>
        <w:t>uluslararası kuruluşlar büyüme tahminlerini aşağı yönlü revize etmişlerdir. 201</w:t>
      </w:r>
      <w:r>
        <w:rPr>
          <w:rFonts w:ascii="Arial" w:hAnsi="Arial" w:cs="Arial"/>
          <w:sz w:val="24"/>
          <w:szCs w:val="24"/>
        </w:rPr>
        <w:t xml:space="preserve">2 yılı Ekim ayında </w:t>
      </w:r>
      <w:r w:rsidRPr="000C2346">
        <w:rPr>
          <w:rFonts w:ascii="Arial" w:hAnsi="Arial" w:cs="Arial"/>
          <w:sz w:val="24"/>
          <w:szCs w:val="24"/>
        </w:rPr>
        <w:t>dünya büyümesini 2013 ve 2014 yılları için sırasıyla yüzde 3,6 ve yüzde 4,1</w:t>
      </w:r>
      <w:r>
        <w:rPr>
          <w:rFonts w:ascii="Arial" w:hAnsi="Arial" w:cs="Arial"/>
          <w:sz w:val="24"/>
          <w:szCs w:val="24"/>
        </w:rPr>
        <w:t xml:space="preserve"> olarak tahmin eden </w:t>
      </w:r>
      <w:r w:rsidRPr="000C2346">
        <w:rPr>
          <w:rFonts w:ascii="Arial" w:hAnsi="Arial" w:cs="Arial"/>
          <w:sz w:val="24"/>
          <w:szCs w:val="24"/>
        </w:rPr>
        <w:t xml:space="preserve">IMF, 2013 yılı </w:t>
      </w:r>
      <w:r w:rsidR="00963058" w:rsidRPr="00286682">
        <w:rPr>
          <w:rFonts w:ascii="Arial" w:hAnsi="Arial" w:cs="Arial"/>
          <w:sz w:val="24"/>
          <w:szCs w:val="24"/>
        </w:rPr>
        <w:t>Ekim</w:t>
      </w:r>
      <w:r w:rsidRPr="000C2346">
        <w:rPr>
          <w:rFonts w:ascii="Arial" w:hAnsi="Arial" w:cs="Arial"/>
          <w:sz w:val="24"/>
          <w:szCs w:val="24"/>
        </w:rPr>
        <w:t xml:space="preserve"> ayında bu tahminlerini 2013 yılı için yüzde </w:t>
      </w:r>
      <w:r w:rsidR="00963058" w:rsidRPr="00286682">
        <w:rPr>
          <w:rFonts w:ascii="Arial" w:hAnsi="Arial" w:cs="Arial"/>
          <w:sz w:val="24"/>
          <w:szCs w:val="24"/>
        </w:rPr>
        <w:t>2,9</w:t>
      </w:r>
      <w:r>
        <w:rPr>
          <w:rFonts w:ascii="Arial" w:hAnsi="Arial" w:cs="Arial"/>
          <w:sz w:val="24"/>
          <w:szCs w:val="24"/>
        </w:rPr>
        <w:t xml:space="preserve"> </w:t>
      </w:r>
      <w:r w:rsidRPr="000C2346">
        <w:rPr>
          <w:rFonts w:ascii="Arial" w:hAnsi="Arial" w:cs="Arial"/>
          <w:sz w:val="24"/>
          <w:szCs w:val="24"/>
        </w:rPr>
        <w:t xml:space="preserve">ve 2014 yılı için yüzde </w:t>
      </w:r>
      <w:r w:rsidR="00963058" w:rsidRPr="00286682">
        <w:rPr>
          <w:rFonts w:ascii="Arial" w:hAnsi="Arial" w:cs="Arial"/>
          <w:sz w:val="24"/>
          <w:szCs w:val="24"/>
        </w:rPr>
        <w:t>3,6</w:t>
      </w:r>
      <w:r w:rsidRPr="000C2346">
        <w:rPr>
          <w:rFonts w:ascii="Arial" w:hAnsi="Arial" w:cs="Arial"/>
          <w:sz w:val="24"/>
          <w:szCs w:val="24"/>
        </w:rPr>
        <w:t xml:space="preserve"> seviyesine indirmiştir.</w:t>
      </w:r>
      <w:r>
        <w:rPr>
          <w:rFonts w:ascii="Arial" w:hAnsi="Arial" w:cs="Arial"/>
          <w:sz w:val="24"/>
          <w:szCs w:val="24"/>
        </w:rPr>
        <w:t xml:space="preserve"> 2015 ve 2016 yıllarında ekonomik görünümün iyileşmesi ve büyümenin yüzde 4,4 ve yüzde 4,5 olması beklenmektedir.</w:t>
      </w:r>
      <w:r w:rsidRPr="000675F9">
        <w:rPr>
          <w:rFonts w:ascii="Arial" w:hAnsi="Arial" w:cs="Arial"/>
          <w:sz w:val="24"/>
          <w:szCs w:val="24"/>
        </w:rPr>
        <w:t xml:space="preserve"> </w:t>
      </w:r>
      <w:r>
        <w:rPr>
          <w:rFonts w:ascii="Arial" w:hAnsi="Arial" w:cs="Arial"/>
          <w:sz w:val="24"/>
          <w:szCs w:val="24"/>
        </w:rPr>
        <w:t>Y</w:t>
      </w:r>
      <w:r w:rsidRPr="000C2346">
        <w:rPr>
          <w:rFonts w:ascii="Arial" w:hAnsi="Arial" w:cs="Arial"/>
          <w:sz w:val="24"/>
          <w:szCs w:val="24"/>
        </w:rPr>
        <w:t xml:space="preserve">ükselen </w:t>
      </w:r>
      <w:r>
        <w:rPr>
          <w:rFonts w:ascii="Arial" w:hAnsi="Arial" w:cs="Arial"/>
          <w:sz w:val="24"/>
          <w:szCs w:val="24"/>
        </w:rPr>
        <w:t>piyasalar ve g</w:t>
      </w:r>
      <w:r w:rsidRPr="000C2346">
        <w:rPr>
          <w:rFonts w:ascii="Arial" w:hAnsi="Arial" w:cs="Arial"/>
          <w:sz w:val="24"/>
          <w:szCs w:val="24"/>
        </w:rPr>
        <w:t xml:space="preserve">elişmekte olan ekonomilerin 2013 yılı büyüme tahmini yüzde 5,6’dan yüzde </w:t>
      </w:r>
      <w:r w:rsidR="00963058" w:rsidRPr="00286682">
        <w:rPr>
          <w:rFonts w:ascii="Arial" w:hAnsi="Arial" w:cs="Arial"/>
          <w:sz w:val="24"/>
          <w:szCs w:val="24"/>
        </w:rPr>
        <w:t>4,5</w:t>
      </w:r>
      <w:r w:rsidRPr="000C2346">
        <w:rPr>
          <w:rFonts w:ascii="Arial" w:hAnsi="Arial" w:cs="Arial"/>
          <w:sz w:val="24"/>
          <w:szCs w:val="24"/>
        </w:rPr>
        <w:t>’e, 2014 yılı büyüme tahmini</w:t>
      </w:r>
      <w:r>
        <w:rPr>
          <w:rFonts w:ascii="Arial" w:hAnsi="Arial" w:cs="Arial"/>
          <w:sz w:val="24"/>
          <w:szCs w:val="24"/>
        </w:rPr>
        <w:t xml:space="preserve"> ise yüzde 5,9’dan yüzde </w:t>
      </w:r>
      <w:r w:rsidR="00963058" w:rsidRPr="00286682">
        <w:rPr>
          <w:rFonts w:ascii="Arial" w:hAnsi="Arial" w:cs="Arial"/>
          <w:sz w:val="24"/>
          <w:szCs w:val="24"/>
        </w:rPr>
        <w:t>5,1</w:t>
      </w:r>
      <w:r>
        <w:rPr>
          <w:rFonts w:ascii="Arial" w:hAnsi="Arial" w:cs="Arial"/>
          <w:sz w:val="24"/>
          <w:szCs w:val="24"/>
        </w:rPr>
        <w:t xml:space="preserve">’e </w:t>
      </w:r>
      <w:r w:rsidRPr="000C2346">
        <w:rPr>
          <w:rFonts w:ascii="Arial" w:hAnsi="Arial" w:cs="Arial"/>
          <w:sz w:val="24"/>
          <w:szCs w:val="24"/>
        </w:rPr>
        <w:t>revize e</w:t>
      </w:r>
      <w:r>
        <w:rPr>
          <w:rFonts w:ascii="Arial" w:hAnsi="Arial" w:cs="Arial"/>
          <w:sz w:val="24"/>
          <w:szCs w:val="24"/>
        </w:rPr>
        <w:t>dil</w:t>
      </w:r>
      <w:r w:rsidRPr="000C2346">
        <w:rPr>
          <w:rFonts w:ascii="Arial" w:hAnsi="Arial" w:cs="Arial"/>
          <w:sz w:val="24"/>
          <w:szCs w:val="24"/>
        </w:rPr>
        <w:t>miştir.</w:t>
      </w:r>
    </w:p>
    <w:p w:rsidR="001F6D57" w:rsidRPr="000675F9" w:rsidRDefault="001F6D57"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Bu çerçevede</w:t>
      </w:r>
      <w:r w:rsidR="00A866BA">
        <w:rPr>
          <w:rFonts w:ascii="Arial" w:hAnsi="Arial" w:cs="Arial"/>
          <w:sz w:val="24"/>
          <w:szCs w:val="24"/>
        </w:rPr>
        <w:t>,</w:t>
      </w:r>
      <w:r>
        <w:rPr>
          <w:rFonts w:ascii="Arial" w:hAnsi="Arial" w:cs="Arial"/>
          <w:sz w:val="24"/>
          <w:szCs w:val="24"/>
        </w:rPr>
        <w:t xml:space="preserve"> </w:t>
      </w:r>
      <w:r w:rsidRPr="000C2346">
        <w:rPr>
          <w:rFonts w:ascii="Arial" w:hAnsi="Arial" w:cs="Arial"/>
          <w:sz w:val="24"/>
          <w:szCs w:val="24"/>
        </w:rPr>
        <w:t xml:space="preserve">2012 yılında yüzde </w:t>
      </w:r>
      <w:r w:rsidR="00963058" w:rsidRPr="00286682">
        <w:rPr>
          <w:rFonts w:ascii="Arial" w:hAnsi="Arial" w:cs="Arial"/>
          <w:sz w:val="24"/>
          <w:szCs w:val="24"/>
        </w:rPr>
        <w:t>2,7</w:t>
      </w:r>
      <w:r w:rsidRPr="000C2346">
        <w:rPr>
          <w:rFonts w:ascii="Arial" w:hAnsi="Arial" w:cs="Arial"/>
          <w:sz w:val="24"/>
          <w:szCs w:val="24"/>
        </w:rPr>
        <w:t xml:space="preserve"> </w:t>
      </w:r>
      <w:r>
        <w:rPr>
          <w:rFonts w:ascii="Arial" w:hAnsi="Arial" w:cs="Arial"/>
          <w:sz w:val="24"/>
          <w:szCs w:val="24"/>
        </w:rPr>
        <w:t xml:space="preserve">olarak kaydedilen dünya </w:t>
      </w:r>
      <w:r w:rsidRPr="000C2346">
        <w:rPr>
          <w:rFonts w:ascii="Arial" w:hAnsi="Arial" w:cs="Arial"/>
          <w:sz w:val="24"/>
          <w:szCs w:val="24"/>
        </w:rPr>
        <w:t>ticaret hacmi</w:t>
      </w:r>
      <w:r>
        <w:rPr>
          <w:rFonts w:ascii="Arial" w:hAnsi="Arial" w:cs="Arial"/>
          <w:sz w:val="24"/>
          <w:szCs w:val="24"/>
        </w:rPr>
        <w:t xml:space="preserve"> artışı 2013 yılında yüzde </w:t>
      </w:r>
      <w:r w:rsidR="00963058" w:rsidRPr="00286682">
        <w:rPr>
          <w:rFonts w:ascii="Arial" w:hAnsi="Arial" w:cs="Arial"/>
          <w:sz w:val="24"/>
          <w:szCs w:val="24"/>
        </w:rPr>
        <w:t>2,9</w:t>
      </w:r>
      <w:r>
        <w:rPr>
          <w:rFonts w:ascii="Arial" w:hAnsi="Arial" w:cs="Arial"/>
          <w:sz w:val="24"/>
          <w:szCs w:val="24"/>
        </w:rPr>
        <w:t xml:space="preserve">, 2014 yılında yüzde </w:t>
      </w:r>
      <w:r w:rsidR="00963058" w:rsidRPr="00286682">
        <w:rPr>
          <w:rFonts w:ascii="Arial" w:hAnsi="Arial" w:cs="Arial"/>
          <w:sz w:val="24"/>
          <w:szCs w:val="24"/>
        </w:rPr>
        <w:t>4,9</w:t>
      </w:r>
      <w:r>
        <w:rPr>
          <w:rFonts w:ascii="Arial" w:hAnsi="Arial" w:cs="Arial"/>
          <w:sz w:val="24"/>
          <w:szCs w:val="24"/>
        </w:rPr>
        <w:t xml:space="preserve"> olarak </w:t>
      </w:r>
      <w:r w:rsidRPr="000C2346">
        <w:rPr>
          <w:rFonts w:ascii="Arial" w:hAnsi="Arial" w:cs="Arial"/>
          <w:sz w:val="24"/>
          <w:szCs w:val="24"/>
        </w:rPr>
        <w:t>tahmin edilmektedir.</w:t>
      </w:r>
      <w:r>
        <w:rPr>
          <w:rFonts w:ascii="Arial" w:hAnsi="Arial" w:cs="Arial"/>
          <w:sz w:val="24"/>
          <w:szCs w:val="24"/>
        </w:rPr>
        <w:t xml:space="preserve"> Söz konusu artış eğiliminin</w:t>
      </w:r>
      <w:r w:rsidRPr="000C2346">
        <w:rPr>
          <w:rFonts w:ascii="Arial" w:hAnsi="Arial" w:cs="Arial"/>
          <w:sz w:val="24"/>
          <w:szCs w:val="24"/>
        </w:rPr>
        <w:t xml:space="preserve"> </w:t>
      </w:r>
      <w:r>
        <w:rPr>
          <w:rFonts w:ascii="Arial" w:hAnsi="Arial" w:cs="Arial"/>
          <w:sz w:val="24"/>
          <w:szCs w:val="24"/>
        </w:rPr>
        <w:t xml:space="preserve">takip eden yıllarda da devam etmesi beklenmektedir. </w:t>
      </w:r>
      <w:r w:rsidRPr="000675F9">
        <w:rPr>
          <w:rFonts w:ascii="Arial" w:hAnsi="Arial" w:cs="Arial"/>
          <w:sz w:val="24"/>
          <w:szCs w:val="24"/>
        </w:rPr>
        <w:t xml:space="preserve"> </w:t>
      </w:r>
    </w:p>
    <w:p w:rsidR="001F6D57" w:rsidRPr="000C2346" w:rsidRDefault="001F6D57"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 xml:space="preserve">Gelişmiş ekonomilerde işsizlik oranları yüksek seyretmeye devam etmiştir. </w:t>
      </w:r>
      <w:r w:rsidRPr="000C2346">
        <w:rPr>
          <w:rFonts w:ascii="Arial" w:hAnsi="Arial" w:cs="Arial"/>
          <w:sz w:val="24"/>
          <w:szCs w:val="24"/>
        </w:rPr>
        <w:t>Avro Bölgesi ülkelerin</w:t>
      </w:r>
      <w:r w:rsidR="00A866BA">
        <w:rPr>
          <w:rFonts w:ascii="Arial" w:hAnsi="Arial" w:cs="Arial"/>
          <w:sz w:val="24"/>
          <w:szCs w:val="24"/>
        </w:rPr>
        <w:t>in pek çoğunda ekonomi</w:t>
      </w:r>
      <w:r>
        <w:rPr>
          <w:rFonts w:ascii="Arial" w:hAnsi="Arial" w:cs="Arial"/>
          <w:sz w:val="24"/>
          <w:szCs w:val="24"/>
        </w:rPr>
        <w:t xml:space="preserve"> politikaları</w:t>
      </w:r>
      <w:r w:rsidR="00A866BA">
        <w:rPr>
          <w:rFonts w:ascii="Arial" w:hAnsi="Arial" w:cs="Arial"/>
          <w:sz w:val="24"/>
          <w:szCs w:val="24"/>
        </w:rPr>
        <w:t xml:space="preserve">na güven oluşturulamaması </w:t>
      </w:r>
      <w:r w:rsidRPr="000C2346">
        <w:rPr>
          <w:rFonts w:ascii="Arial" w:hAnsi="Arial" w:cs="Arial"/>
          <w:sz w:val="24"/>
          <w:szCs w:val="24"/>
        </w:rPr>
        <w:t>düşük üretim ve talebe neden olmakta</w:t>
      </w:r>
      <w:r>
        <w:rPr>
          <w:rFonts w:ascii="Arial" w:hAnsi="Arial" w:cs="Arial"/>
          <w:sz w:val="24"/>
          <w:szCs w:val="24"/>
        </w:rPr>
        <w:t>,</w:t>
      </w:r>
      <w:r w:rsidRPr="000C2346">
        <w:rPr>
          <w:rFonts w:ascii="Arial" w:hAnsi="Arial" w:cs="Arial"/>
          <w:sz w:val="24"/>
          <w:szCs w:val="24"/>
        </w:rPr>
        <w:t xml:space="preserve"> bu durum emek piyasalarını olumsuz </w:t>
      </w:r>
      <w:r w:rsidR="00A866BA">
        <w:rPr>
          <w:rFonts w:ascii="Arial" w:hAnsi="Arial" w:cs="Arial"/>
          <w:sz w:val="24"/>
          <w:szCs w:val="24"/>
        </w:rPr>
        <w:t xml:space="preserve">yönde </w:t>
      </w:r>
      <w:r w:rsidRPr="000C2346">
        <w:rPr>
          <w:rFonts w:ascii="Arial" w:hAnsi="Arial" w:cs="Arial"/>
          <w:sz w:val="24"/>
          <w:szCs w:val="24"/>
        </w:rPr>
        <w:t>etkilemektedir. Avro Bölgesinde 2011 yılında yüzde 10,2 seviyesinde gerçekleşen işsizlik oranı, 2012 yılında yüzde 11,4</w:t>
      </w:r>
      <w:r>
        <w:rPr>
          <w:rFonts w:ascii="Arial" w:hAnsi="Arial" w:cs="Arial"/>
          <w:sz w:val="24"/>
          <w:szCs w:val="24"/>
        </w:rPr>
        <w:t>’e</w:t>
      </w:r>
      <w:r w:rsidRPr="000C2346">
        <w:rPr>
          <w:rFonts w:ascii="Arial" w:hAnsi="Arial" w:cs="Arial"/>
          <w:sz w:val="24"/>
          <w:szCs w:val="24"/>
        </w:rPr>
        <w:t xml:space="preserve"> </w:t>
      </w:r>
      <w:r>
        <w:rPr>
          <w:rFonts w:ascii="Arial" w:hAnsi="Arial" w:cs="Arial"/>
          <w:sz w:val="24"/>
          <w:szCs w:val="24"/>
        </w:rPr>
        <w:t>yükselmiştir.</w:t>
      </w:r>
      <w:r w:rsidRPr="000C2346">
        <w:rPr>
          <w:rFonts w:ascii="Arial" w:hAnsi="Arial" w:cs="Arial"/>
          <w:sz w:val="24"/>
          <w:szCs w:val="24"/>
        </w:rPr>
        <w:t xml:space="preserve"> ABD’de iyileşen ekonomik görünüm ile birlikte istihdamda iyileşme kaydedilm</w:t>
      </w:r>
      <w:r>
        <w:rPr>
          <w:rFonts w:ascii="Arial" w:hAnsi="Arial" w:cs="Arial"/>
          <w:sz w:val="24"/>
          <w:szCs w:val="24"/>
        </w:rPr>
        <w:t xml:space="preserve">iş, 2011 yılında yüzde 8,9 olan işsizlik oranı </w:t>
      </w:r>
      <w:r w:rsidRPr="000C2346">
        <w:rPr>
          <w:rFonts w:ascii="Arial" w:hAnsi="Arial" w:cs="Arial"/>
          <w:sz w:val="24"/>
          <w:szCs w:val="24"/>
        </w:rPr>
        <w:t>2012 yılında yüzde 8,1</w:t>
      </w:r>
      <w:r>
        <w:rPr>
          <w:rFonts w:ascii="Arial" w:hAnsi="Arial" w:cs="Arial"/>
          <w:sz w:val="24"/>
          <w:szCs w:val="24"/>
        </w:rPr>
        <w:t>’e gerilemiştir</w:t>
      </w:r>
      <w:r w:rsidRPr="000C2346">
        <w:rPr>
          <w:rFonts w:ascii="Arial" w:hAnsi="Arial" w:cs="Arial"/>
          <w:sz w:val="24"/>
          <w:szCs w:val="24"/>
        </w:rPr>
        <w:t xml:space="preserve">. </w:t>
      </w:r>
    </w:p>
    <w:p w:rsidR="001F6D57" w:rsidRDefault="001F6D57"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0C2346">
        <w:rPr>
          <w:rFonts w:ascii="Arial" w:hAnsi="Arial" w:cs="Arial"/>
          <w:sz w:val="24"/>
          <w:szCs w:val="24"/>
        </w:rPr>
        <w:t xml:space="preserve">Ekonomik büyümenin </w:t>
      </w:r>
      <w:r>
        <w:rPr>
          <w:rFonts w:ascii="Arial" w:hAnsi="Arial" w:cs="Arial"/>
          <w:sz w:val="24"/>
          <w:szCs w:val="24"/>
        </w:rPr>
        <w:t>istenilen</w:t>
      </w:r>
      <w:r w:rsidRPr="000C2346">
        <w:rPr>
          <w:rFonts w:ascii="Arial" w:hAnsi="Arial" w:cs="Arial"/>
          <w:sz w:val="24"/>
          <w:szCs w:val="24"/>
        </w:rPr>
        <w:t xml:space="preserve"> seviyelerde olmaması nedeniyle yeterli istihdam yaratılamaması, </w:t>
      </w:r>
      <w:r>
        <w:rPr>
          <w:rFonts w:ascii="Arial" w:hAnsi="Arial" w:cs="Arial"/>
          <w:sz w:val="24"/>
          <w:szCs w:val="24"/>
        </w:rPr>
        <w:t xml:space="preserve">yüksek oranlı </w:t>
      </w:r>
      <w:r w:rsidRPr="000C2346">
        <w:rPr>
          <w:rFonts w:ascii="Arial" w:hAnsi="Arial" w:cs="Arial"/>
          <w:sz w:val="24"/>
          <w:szCs w:val="24"/>
        </w:rPr>
        <w:t>genç işsizliği, işsizlerin yetenek kaybı birçok ül</w:t>
      </w:r>
      <w:r>
        <w:rPr>
          <w:rFonts w:ascii="Arial" w:hAnsi="Arial" w:cs="Arial"/>
          <w:sz w:val="24"/>
          <w:szCs w:val="24"/>
        </w:rPr>
        <w:t>ke için temel sorun alanları</w:t>
      </w:r>
      <w:r w:rsidRPr="000C2346">
        <w:rPr>
          <w:rFonts w:ascii="Arial" w:hAnsi="Arial" w:cs="Arial"/>
          <w:sz w:val="24"/>
          <w:szCs w:val="24"/>
        </w:rPr>
        <w:t xml:space="preserve"> olmaya devam etmektedir. 2013 yılına ilişkin </w:t>
      </w:r>
      <w:r>
        <w:rPr>
          <w:rFonts w:ascii="Arial" w:hAnsi="Arial" w:cs="Arial"/>
          <w:sz w:val="24"/>
          <w:szCs w:val="24"/>
        </w:rPr>
        <w:t>beklenen zayıf</w:t>
      </w:r>
      <w:r w:rsidRPr="000C2346">
        <w:rPr>
          <w:rFonts w:ascii="Arial" w:hAnsi="Arial" w:cs="Arial"/>
          <w:sz w:val="24"/>
          <w:szCs w:val="24"/>
        </w:rPr>
        <w:t xml:space="preserve"> ekonomik aktivite nedeniyle işsizlik oranlarında küresel düzeyde belirgin bir</w:t>
      </w:r>
      <w:r>
        <w:rPr>
          <w:rFonts w:ascii="Arial" w:hAnsi="Arial" w:cs="Arial"/>
          <w:sz w:val="24"/>
          <w:szCs w:val="24"/>
        </w:rPr>
        <w:t xml:space="preserve"> iyileşme beklenmemektedir. Bununla</w:t>
      </w:r>
      <w:r w:rsidRPr="000C2346">
        <w:rPr>
          <w:rFonts w:ascii="Arial" w:hAnsi="Arial" w:cs="Arial"/>
          <w:sz w:val="24"/>
          <w:szCs w:val="24"/>
        </w:rPr>
        <w:t xml:space="preserve"> birlikte</w:t>
      </w:r>
      <w:r>
        <w:rPr>
          <w:rFonts w:ascii="Arial" w:hAnsi="Arial" w:cs="Arial"/>
          <w:sz w:val="24"/>
          <w:szCs w:val="24"/>
        </w:rPr>
        <w:t>,</w:t>
      </w:r>
      <w:r w:rsidRPr="000C2346">
        <w:rPr>
          <w:rFonts w:ascii="Arial" w:hAnsi="Arial" w:cs="Arial"/>
          <w:sz w:val="24"/>
          <w:szCs w:val="24"/>
        </w:rPr>
        <w:t xml:space="preserve"> ABD’d</w:t>
      </w:r>
      <w:r>
        <w:rPr>
          <w:rFonts w:ascii="Arial" w:hAnsi="Arial" w:cs="Arial"/>
          <w:sz w:val="24"/>
          <w:szCs w:val="24"/>
        </w:rPr>
        <w:t>e</w:t>
      </w:r>
      <w:r w:rsidRPr="000C2346">
        <w:rPr>
          <w:rFonts w:ascii="Arial" w:hAnsi="Arial" w:cs="Arial"/>
          <w:sz w:val="24"/>
          <w:szCs w:val="24"/>
        </w:rPr>
        <w:t xml:space="preserve"> iyileşen ekonomik görünüm işsizlik rakamlarında iyileşmeye işaret etmektedir. </w:t>
      </w:r>
      <w:r>
        <w:rPr>
          <w:rFonts w:ascii="Arial" w:hAnsi="Arial" w:cs="Arial"/>
          <w:sz w:val="24"/>
          <w:szCs w:val="24"/>
        </w:rPr>
        <w:t xml:space="preserve">Ancak bu gelişmede işgücüne katılım oranlarındaki düşüş de etkili olmuştur. </w:t>
      </w:r>
      <w:r w:rsidRPr="000C2346">
        <w:rPr>
          <w:rFonts w:ascii="Arial" w:hAnsi="Arial" w:cs="Arial"/>
          <w:sz w:val="24"/>
          <w:szCs w:val="24"/>
        </w:rPr>
        <w:t xml:space="preserve">2013 yılında işsizlik oranlarının, ABD’de yüzde </w:t>
      </w:r>
      <w:r w:rsidR="00963058" w:rsidRPr="00286682">
        <w:rPr>
          <w:rFonts w:ascii="Arial" w:hAnsi="Arial" w:cs="Arial"/>
          <w:sz w:val="24"/>
          <w:szCs w:val="24"/>
        </w:rPr>
        <w:t>7,6</w:t>
      </w:r>
      <w:r w:rsidRPr="00286682">
        <w:rPr>
          <w:rFonts w:ascii="Arial" w:hAnsi="Arial" w:cs="Arial"/>
          <w:sz w:val="24"/>
          <w:szCs w:val="24"/>
        </w:rPr>
        <w:t>’</w:t>
      </w:r>
      <w:r w:rsidR="00963058" w:rsidRPr="00286682">
        <w:rPr>
          <w:rFonts w:ascii="Arial" w:hAnsi="Arial" w:cs="Arial"/>
          <w:sz w:val="24"/>
          <w:szCs w:val="24"/>
        </w:rPr>
        <w:t>ya</w:t>
      </w:r>
      <w:r w:rsidRPr="000C2346">
        <w:rPr>
          <w:rFonts w:ascii="Arial" w:hAnsi="Arial" w:cs="Arial"/>
          <w:sz w:val="24"/>
          <w:szCs w:val="24"/>
        </w:rPr>
        <w:t xml:space="preserve"> gerilemesi, Avro Bölgesi</w:t>
      </w:r>
      <w:r>
        <w:rPr>
          <w:rFonts w:ascii="Arial" w:hAnsi="Arial" w:cs="Arial"/>
          <w:sz w:val="24"/>
          <w:szCs w:val="24"/>
        </w:rPr>
        <w:t>nde ise</w:t>
      </w:r>
      <w:r w:rsidRPr="000C2346">
        <w:rPr>
          <w:rFonts w:ascii="Arial" w:hAnsi="Arial" w:cs="Arial"/>
          <w:sz w:val="24"/>
          <w:szCs w:val="24"/>
        </w:rPr>
        <w:t xml:space="preserve"> yüzde 12,3’e</w:t>
      </w:r>
      <w:r>
        <w:rPr>
          <w:rFonts w:ascii="Arial" w:hAnsi="Arial" w:cs="Arial"/>
          <w:sz w:val="24"/>
          <w:szCs w:val="24"/>
        </w:rPr>
        <w:t xml:space="preserve"> </w:t>
      </w:r>
      <w:r w:rsidRPr="000C2346">
        <w:rPr>
          <w:rFonts w:ascii="Arial" w:hAnsi="Arial" w:cs="Arial"/>
          <w:sz w:val="24"/>
          <w:szCs w:val="24"/>
        </w:rPr>
        <w:t xml:space="preserve">yükselmesi beklenmektedir. 2014 yılında ise bu oranların sırasıyla yüzde </w:t>
      </w:r>
      <w:r w:rsidR="00963058" w:rsidRPr="00286682">
        <w:rPr>
          <w:rFonts w:ascii="Arial" w:hAnsi="Arial" w:cs="Arial"/>
          <w:sz w:val="24"/>
          <w:szCs w:val="24"/>
        </w:rPr>
        <w:t>7,4</w:t>
      </w:r>
      <w:r>
        <w:rPr>
          <w:rFonts w:ascii="Arial" w:hAnsi="Arial" w:cs="Arial"/>
          <w:sz w:val="24"/>
          <w:szCs w:val="24"/>
        </w:rPr>
        <w:t xml:space="preserve"> ve yüzde </w:t>
      </w:r>
      <w:r w:rsidR="00963058" w:rsidRPr="00286682">
        <w:rPr>
          <w:rFonts w:ascii="Arial" w:hAnsi="Arial" w:cs="Arial"/>
          <w:sz w:val="24"/>
          <w:szCs w:val="24"/>
        </w:rPr>
        <w:t>12,2</w:t>
      </w:r>
      <w:r>
        <w:rPr>
          <w:rFonts w:ascii="Arial" w:hAnsi="Arial" w:cs="Arial"/>
          <w:sz w:val="24"/>
          <w:szCs w:val="24"/>
        </w:rPr>
        <w:t xml:space="preserve"> </w:t>
      </w:r>
      <w:r w:rsidRPr="000C2346">
        <w:rPr>
          <w:rFonts w:ascii="Arial" w:hAnsi="Arial" w:cs="Arial"/>
          <w:sz w:val="24"/>
          <w:szCs w:val="24"/>
        </w:rPr>
        <w:t>olacağı tahmin edilmektedir.</w:t>
      </w:r>
    </w:p>
    <w:p w:rsidR="001F6D57" w:rsidRDefault="001F6D57"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Gelişmiş ülkelerde uygulanan genişle</w:t>
      </w:r>
      <w:r w:rsidR="004F4C14">
        <w:rPr>
          <w:rFonts w:ascii="Arial" w:hAnsi="Arial" w:cs="Arial"/>
          <w:sz w:val="24"/>
          <w:szCs w:val="24"/>
        </w:rPr>
        <w:t>tici</w:t>
      </w:r>
      <w:r>
        <w:rPr>
          <w:rFonts w:ascii="Arial" w:hAnsi="Arial" w:cs="Arial"/>
          <w:sz w:val="24"/>
          <w:szCs w:val="24"/>
        </w:rPr>
        <w:t xml:space="preserve"> para politikalarına rağmen, k</w:t>
      </w:r>
      <w:r w:rsidRPr="000C2346">
        <w:rPr>
          <w:rFonts w:ascii="Arial" w:hAnsi="Arial" w:cs="Arial"/>
          <w:sz w:val="24"/>
          <w:szCs w:val="24"/>
        </w:rPr>
        <w:t xml:space="preserve">üresel ölçekte </w:t>
      </w:r>
      <w:r>
        <w:rPr>
          <w:rFonts w:ascii="Arial" w:hAnsi="Arial" w:cs="Arial"/>
          <w:sz w:val="24"/>
          <w:szCs w:val="24"/>
        </w:rPr>
        <w:t xml:space="preserve">ciddi bir </w:t>
      </w:r>
      <w:r w:rsidRPr="000C2346">
        <w:rPr>
          <w:rFonts w:ascii="Arial" w:hAnsi="Arial" w:cs="Arial"/>
          <w:sz w:val="24"/>
          <w:szCs w:val="24"/>
        </w:rPr>
        <w:t>enflasyonist baskı</w:t>
      </w:r>
      <w:r>
        <w:rPr>
          <w:rFonts w:ascii="Arial" w:hAnsi="Arial" w:cs="Arial"/>
          <w:sz w:val="24"/>
          <w:szCs w:val="24"/>
        </w:rPr>
        <w:t xml:space="preserve"> hissedilmemiştir.</w:t>
      </w:r>
      <w:r w:rsidRPr="000C2346">
        <w:rPr>
          <w:rFonts w:ascii="Arial" w:hAnsi="Arial" w:cs="Arial"/>
          <w:sz w:val="24"/>
          <w:szCs w:val="24"/>
        </w:rPr>
        <w:t xml:space="preserve"> 2011 yılında yüzde 11,</w:t>
      </w:r>
      <w:r w:rsidR="007F4944">
        <w:rPr>
          <w:rFonts w:ascii="Arial" w:hAnsi="Arial" w:cs="Arial"/>
          <w:sz w:val="24"/>
          <w:szCs w:val="24"/>
        </w:rPr>
        <w:t>1</w:t>
      </w:r>
      <w:r w:rsidRPr="000C2346">
        <w:rPr>
          <w:rFonts w:ascii="Arial" w:hAnsi="Arial" w:cs="Arial"/>
          <w:sz w:val="24"/>
          <w:szCs w:val="24"/>
        </w:rPr>
        <w:t xml:space="preserve"> oranında artan dünya mal ve hizmet ticareti fiyatları, düşük ekonomik aktivite ve </w:t>
      </w:r>
      <w:r>
        <w:rPr>
          <w:rFonts w:ascii="Arial" w:hAnsi="Arial" w:cs="Arial"/>
          <w:sz w:val="24"/>
          <w:szCs w:val="24"/>
        </w:rPr>
        <w:t xml:space="preserve">zayıf </w:t>
      </w:r>
      <w:r w:rsidRPr="000C2346">
        <w:rPr>
          <w:rFonts w:ascii="Arial" w:hAnsi="Arial" w:cs="Arial"/>
          <w:sz w:val="24"/>
          <w:szCs w:val="24"/>
        </w:rPr>
        <w:t xml:space="preserve">küresel talep nedeniyle 2012 yılında yüzde </w:t>
      </w:r>
      <w:r w:rsidRPr="002A7B89">
        <w:rPr>
          <w:rFonts w:ascii="Arial" w:hAnsi="Arial" w:cs="Arial"/>
          <w:sz w:val="24"/>
          <w:szCs w:val="24"/>
        </w:rPr>
        <w:t>1,</w:t>
      </w:r>
      <w:r w:rsidR="007F4944">
        <w:rPr>
          <w:rFonts w:ascii="Arial" w:hAnsi="Arial" w:cs="Arial"/>
          <w:sz w:val="24"/>
          <w:szCs w:val="24"/>
        </w:rPr>
        <w:t>8</w:t>
      </w:r>
      <w:r w:rsidRPr="002A7B89">
        <w:rPr>
          <w:rFonts w:ascii="Arial" w:hAnsi="Arial" w:cs="Arial"/>
          <w:sz w:val="24"/>
          <w:szCs w:val="24"/>
        </w:rPr>
        <w:t xml:space="preserve"> oranında azalmıştır.</w:t>
      </w:r>
      <w:r w:rsidRPr="000C2346">
        <w:rPr>
          <w:rFonts w:ascii="Arial" w:hAnsi="Arial" w:cs="Arial"/>
          <w:sz w:val="24"/>
          <w:szCs w:val="24"/>
        </w:rPr>
        <w:t xml:space="preserve">  2011 yılında yüzde 4,9 oranında artan dünya tüketici fiyatları, 2012 yılında yüzde 3,9 oranında artmıştır. Bu dönemde tüketici enflasyonu gelişmiş ekonomilerde yüzde 2,7’den yüzde 2</w:t>
      </w:r>
      <w:r>
        <w:rPr>
          <w:rFonts w:ascii="Arial" w:hAnsi="Arial" w:cs="Arial"/>
          <w:sz w:val="24"/>
          <w:szCs w:val="24"/>
        </w:rPr>
        <w:t>’</w:t>
      </w:r>
      <w:r w:rsidRPr="000C2346">
        <w:rPr>
          <w:rFonts w:ascii="Arial" w:hAnsi="Arial" w:cs="Arial"/>
          <w:sz w:val="24"/>
          <w:szCs w:val="24"/>
        </w:rPr>
        <w:t xml:space="preserve">ye, yükselen </w:t>
      </w:r>
      <w:r>
        <w:rPr>
          <w:rFonts w:ascii="Arial" w:hAnsi="Arial" w:cs="Arial"/>
          <w:sz w:val="24"/>
          <w:szCs w:val="24"/>
        </w:rPr>
        <w:t xml:space="preserve">piyasalar ve </w:t>
      </w:r>
      <w:r w:rsidRPr="000C2346">
        <w:rPr>
          <w:rFonts w:ascii="Arial" w:hAnsi="Arial" w:cs="Arial"/>
          <w:sz w:val="24"/>
          <w:szCs w:val="24"/>
        </w:rPr>
        <w:t xml:space="preserve">gelişmekte olan ekonomilerde ise yüzde </w:t>
      </w:r>
      <w:r w:rsidR="00963058" w:rsidRPr="00286682">
        <w:rPr>
          <w:rFonts w:ascii="Arial" w:hAnsi="Arial" w:cs="Arial"/>
          <w:sz w:val="24"/>
          <w:szCs w:val="24"/>
        </w:rPr>
        <w:t>7,1</w:t>
      </w:r>
      <w:r w:rsidRPr="000C2346">
        <w:rPr>
          <w:rFonts w:ascii="Arial" w:hAnsi="Arial" w:cs="Arial"/>
          <w:sz w:val="24"/>
          <w:szCs w:val="24"/>
        </w:rPr>
        <w:t xml:space="preserve">’den yüzde </w:t>
      </w:r>
      <w:r w:rsidR="00963058" w:rsidRPr="00286682">
        <w:rPr>
          <w:rFonts w:ascii="Arial" w:hAnsi="Arial" w:cs="Arial"/>
          <w:sz w:val="24"/>
          <w:szCs w:val="24"/>
        </w:rPr>
        <w:t>6,1</w:t>
      </w:r>
      <w:r w:rsidRPr="00286682">
        <w:rPr>
          <w:rFonts w:ascii="Arial" w:hAnsi="Arial" w:cs="Arial"/>
          <w:sz w:val="24"/>
          <w:szCs w:val="24"/>
        </w:rPr>
        <w:t>’</w:t>
      </w:r>
      <w:r w:rsidR="00963058" w:rsidRPr="00286682">
        <w:rPr>
          <w:rFonts w:ascii="Arial" w:hAnsi="Arial" w:cs="Arial"/>
          <w:sz w:val="24"/>
          <w:szCs w:val="24"/>
        </w:rPr>
        <w:t>e</w:t>
      </w:r>
      <w:r w:rsidRPr="000C2346">
        <w:rPr>
          <w:rFonts w:ascii="Arial" w:hAnsi="Arial" w:cs="Arial"/>
          <w:sz w:val="24"/>
          <w:szCs w:val="24"/>
        </w:rPr>
        <w:t xml:space="preserve"> gerilemiştir. </w:t>
      </w:r>
      <w:r>
        <w:rPr>
          <w:rFonts w:ascii="Arial" w:hAnsi="Arial" w:cs="Arial"/>
          <w:sz w:val="24"/>
          <w:szCs w:val="24"/>
        </w:rPr>
        <w:t>2012 yılında küresel düzeyde yüzde 3</w:t>
      </w:r>
      <w:r w:rsidRPr="000675F9">
        <w:rPr>
          <w:rFonts w:ascii="Arial" w:hAnsi="Arial" w:cs="Arial"/>
          <w:sz w:val="24"/>
          <w:szCs w:val="24"/>
        </w:rPr>
        <w:t>,</w:t>
      </w:r>
      <w:r>
        <w:rPr>
          <w:rFonts w:ascii="Arial" w:hAnsi="Arial" w:cs="Arial"/>
          <w:sz w:val="24"/>
          <w:szCs w:val="24"/>
        </w:rPr>
        <w:t>9</w:t>
      </w:r>
      <w:r w:rsidRPr="000675F9">
        <w:rPr>
          <w:rFonts w:ascii="Arial" w:hAnsi="Arial" w:cs="Arial"/>
          <w:sz w:val="24"/>
          <w:szCs w:val="24"/>
        </w:rPr>
        <w:t xml:space="preserve"> olarak gerç</w:t>
      </w:r>
      <w:r>
        <w:rPr>
          <w:rFonts w:ascii="Arial" w:hAnsi="Arial" w:cs="Arial"/>
          <w:sz w:val="24"/>
          <w:szCs w:val="24"/>
        </w:rPr>
        <w:t>ekleşen enflasyon oranının, 2013 ve 2014 yıllarında yüzde 3,8</w:t>
      </w:r>
      <w:r w:rsidRPr="000675F9">
        <w:rPr>
          <w:rFonts w:ascii="Arial" w:hAnsi="Arial" w:cs="Arial"/>
          <w:sz w:val="24"/>
          <w:szCs w:val="24"/>
        </w:rPr>
        <w:t xml:space="preserve"> </w:t>
      </w:r>
      <w:r>
        <w:rPr>
          <w:rFonts w:ascii="Arial" w:hAnsi="Arial" w:cs="Arial"/>
          <w:sz w:val="24"/>
          <w:szCs w:val="24"/>
        </w:rPr>
        <w:t>o</w:t>
      </w:r>
      <w:r w:rsidRPr="000675F9">
        <w:rPr>
          <w:rFonts w:ascii="Arial" w:hAnsi="Arial" w:cs="Arial"/>
          <w:sz w:val="24"/>
          <w:szCs w:val="24"/>
        </w:rPr>
        <w:t xml:space="preserve">lacağı tahmin edilmektedir. </w:t>
      </w:r>
      <w:r>
        <w:rPr>
          <w:rFonts w:ascii="Arial" w:hAnsi="Arial" w:cs="Arial"/>
          <w:sz w:val="24"/>
          <w:szCs w:val="24"/>
        </w:rPr>
        <w:t>Önümüzdeki dönemde küresel düzeyde enflasyonist baskıların düşük olacağı, ancak bazı gelişmekte olan ülkelerde enflasyonun yükselebileceği öngörülmektedir.</w:t>
      </w:r>
    </w:p>
    <w:p w:rsidR="001F6D57" w:rsidRDefault="001F6D57"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99798E">
        <w:rPr>
          <w:rFonts w:ascii="Arial" w:hAnsi="Arial" w:cs="Arial"/>
          <w:sz w:val="24"/>
          <w:szCs w:val="24"/>
        </w:rPr>
        <w:t>Küresel büyüme</w:t>
      </w:r>
      <w:r>
        <w:rPr>
          <w:rFonts w:ascii="Arial" w:hAnsi="Arial" w:cs="Arial"/>
          <w:sz w:val="24"/>
          <w:szCs w:val="24"/>
        </w:rPr>
        <w:t>deki zayıf</w:t>
      </w:r>
      <w:r w:rsidRPr="0099798E">
        <w:rPr>
          <w:rFonts w:ascii="Arial" w:hAnsi="Arial" w:cs="Arial"/>
          <w:sz w:val="24"/>
          <w:szCs w:val="24"/>
        </w:rPr>
        <w:t xml:space="preserve"> görünüm, başta enerji ve endüstriyel metaller olmak üzere, emtia fiyatları üzerinde belirleyici unsur olarak ön</w:t>
      </w:r>
      <w:r>
        <w:rPr>
          <w:rFonts w:ascii="Arial" w:hAnsi="Arial" w:cs="Arial"/>
          <w:sz w:val="24"/>
          <w:szCs w:val="24"/>
        </w:rPr>
        <w:t>e</w:t>
      </w:r>
      <w:r w:rsidRPr="0099798E">
        <w:rPr>
          <w:rFonts w:ascii="Arial" w:hAnsi="Arial" w:cs="Arial"/>
          <w:sz w:val="24"/>
          <w:szCs w:val="24"/>
        </w:rPr>
        <w:t xml:space="preserve"> çıkmaktadır. 2012 yılın</w:t>
      </w:r>
      <w:r>
        <w:rPr>
          <w:rFonts w:ascii="Arial" w:hAnsi="Arial" w:cs="Arial"/>
          <w:sz w:val="24"/>
          <w:szCs w:val="24"/>
        </w:rPr>
        <w:t xml:space="preserve">da ortalama </w:t>
      </w:r>
      <w:proofErr w:type="spellStart"/>
      <w:r>
        <w:rPr>
          <w:rFonts w:ascii="Arial" w:hAnsi="Arial" w:cs="Arial"/>
          <w:sz w:val="24"/>
          <w:szCs w:val="24"/>
        </w:rPr>
        <w:t>Brent</w:t>
      </w:r>
      <w:proofErr w:type="spellEnd"/>
      <w:r>
        <w:rPr>
          <w:rFonts w:ascii="Arial" w:hAnsi="Arial" w:cs="Arial"/>
          <w:sz w:val="24"/>
          <w:szCs w:val="24"/>
        </w:rPr>
        <w:t xml:space="preserve"> petrol varil fiyatı 112</w:t>
      </w:r>
      <w:r w:rsidRPr="0099798E">
        <w:rPr>
          <w:rFonts w:ascii="Arial" w:hAnsi="Arial" w:cs="Arial"/>
          <w:sz w:val="24"/>
          <w:szCs w:val="24"/>
        </w:rPr>
        <w:t xml:space="preserve"> dolar</w:t>
      </w:r>
      <w:r>
        <w:rPr>
          <w:rFonts w:ascii="Arial" w:hAnsi="Arial" w:cs="Arial"/>
          <w:sz w:val="24"/>
          <w:szCs w:val="24"/>
        </w:rPr>
        <w:t xml:space="preserve"> </w:t>
      </w:r>
      <w:r w:rsidRPr="0099798E">
        <w:rPr>
          <w:rFonts w:ascii="Arial" w:hAnsi="Arial" w:cs="Arial"/>
          <w:sz w:val="24"/>
          <w:szCs w:val="24"/>
        </w:rPr>
        <w:t xml:space="preserve">olarak gerçekleşmiştir. </w:t>
      </w:r>
      <w:r>
        <w:rPr>
          <w:rFonts w:ascii="Arial" w:hAnsi="Arial" w:cs="Arial"/>
          <w:sz w:val="24"/>
          <w:szCs w:val="24"/>
        </w:rPr>
        <w:t xml:space="preserve">Orta vadede petrol fiyatlarında düşüş eğiliminin devam edeceği tahmin edilmekle birlikte, jeopolitik belirsizlikler geçici fiyat artışlarına neden olabilecektir. </w:t>
      </w:r>
    </w:p>
    <w:p w:rsidR="001F6D57" w:rsidRPr="000C2346" w:rsidRDefault="001F6D57"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 xml:space="preserve">Gelişmiş ülkelerdeki kamu borçları alınan mali önlemlere rağmen, halen yüksek seviyelerdedir. </w:t>
      </w:r>
      <w:r w:rsidRPr="000C2346">
        <w:rPr>
          <w:rFonts w:ascii="Arial" w:hAnsi="Arial" w:cs="Arial"/>
          <w:sz w:val="24"/>
          <w:szCs w:val="24"/>
        </w:rPr>
        <w:t>2011 yılı</w:t>
      </w:r>
      <w:r>
        <w:rPr>
          <w:rFonts w:ascii="Arial" w:hAnsi="Arial" w:cs="Arial"/>
          <w:sz w:val="24"/>
          <w:szCs w:val="24"/>
        </w:rPr>
        <w:t>nda</w:t>
      </w:r>
      <w:r w:rsidRPr="000C2346">
        <w:rPr>
          <w:rFonts w:ascii="Arial" w:hAnsi="Arial" w:cs="Arial"/>
          <w:sz w:val="24"/>
          <w:szCs w:val="24"/>
        </w:rPr>
        <w:t xml:space="preserve"> Avro Bölgesi</w:t>
      </w:r>
      <w:r>
        <w:rPr>
          <w:rFonts w:ascii="Arial" w:hAnsi="Arial" w:cs="Arial"/>
          <w:sz w:val="24"/>
          <w:szCs w:val="24"/>
        </w:rPr>
        <w:t>nde</w:t>
      </w:r>
      <w:r w:rsidRPr="000C2346">
        <w:rPr>
          <w:rFonts w:ascii="Arial" w:hAnsi="Arial" w:cs="Arial"/>
          <w:sz w:val="24"/>
          <w:szCs w:val="24"/>
        </w:rPr>
        <w:t xml:space="preserve"> yüzde </w:t>
      </w:r>
      <w:r w:rsidR="00963058" w:rsidRPr="00286682">
        <w:rPr>
          <w:rFonts w:ascii="Arial" w:hAnsi="Arial" w:cs="Arial"/>
          <w:sz w:val="24"/>
          <w:szCs w:val="24"/>
        </w:rPr>
        <w:t>88</w:t>
      </w:r>
      <w:r w:rsidRPr="000C2346">
        <w:rPr>
          <w:rFonts w:ascii="Arial" w:hAnsi="Arial" w:cs="Arial"/>
          <w:sz w:val="24"/>
          <w:szCs w:val="24"/>
        </w:rPr>
        <w:t xml:space="preserve"> olan genel devlet brüt borç stokunun </w:t>
      </w:r>
      <w:proofErr w:type="spellStart"/>
      <w:r w:rsidRPr="000C2346">
        <w:rPr>
          <w:rFonts w:ascii="Arial" w:hAnsi="Arial" w:cs="Arial"/>
          <w:sz w:val="24"/>
          <w:szCs w:val="24"/>
        </w:rPr>
        <w:t>GSYH’ya</w:t>
      </w:r>
      <w:proofErr w:type="spellEnd"/>
      <w:r w:rsidRPr="000C2346">
        <w:rPr>
          <w:rFonts w:ascii="Arial" w:hAnsi="Arial" w:cs="Arial"/>
          <w:sz w:val="24"/>
          <w:szCs w:val="24"/>
        </w:rPr>
        <w:t xml:space="preserve"> oranı</w:t>
      </w:r>
      <w:r>
        <w:rPr>
          <w:rFonts w:ascii="Arial" w:hAnsi="Arial" w:cs="Arial"/>
          <w:sz w:val="24"/>
          <w:szCs w:val="24"/>
        </w:rPr>
        <w:t>,</w:t>
      </w:r>
      <w:r w:rsidRPr="000C2346">
        <w:rPr>
          <w:rFonts w:ascii="Arial" w:hAnsi="Arial" w:cs="Arial"/>
          <w:sz w:val="24"/>
          <w:szCs w:val="24"/>
        </w:rPr>
        <w:t xml:space="preserve"> 2012 yılı sonunda yüzde </w:t>
      </w:r>
      <w:r w:rsidR="00963058" w:rsidRPr="00286682">
        <w:rPr>
          <w:rFonts w:ascii="Arial" w:hAnsi="Arial" w:cs="Arial"/>
          <w:sz w:val="24"/>
          <w:szCs w:val="24"/>
        </w:rPr>
        <w:t>92,8</w:t>
      </w:r>
      <w:r w:rsidRPr="000C2346">
        <w:rPr>
          <w:rFonts w:ascii="Arial" w:hAnsi="Arial" w:cs="Arial"/>
          <w:sz w:val="24"/>
          <w:szCs w:val="24"/>
        </w:rPr>
        <w:t xml:space="preserve"> seviyesine </w:t>
      </w:r>
      <w:r>
        <w:rPr>
          <w:rFonts w:ascii="Arial" w:hAnsi="Arial" w:cs="Arial"/>
          <w:sz w:val="24"/>
          <w:szCs w:val="24"/>
        </w:rPr>
        <w:t>çıkmıştır</w:t>
      </w:r>
      <w:r w:rsidRPr="000C2346">
        <w:rPr>
          <w:rFonts w:ascii="Arial" w:hAnsi="Arial" w:cs="Arial"/>
          <w:sz w:val="24"/>
          <w:szCs w:val="24"/>
        </w:rPr>
        <w:t>. ABD</w:t>
      </w:r>
      <w:r>
        <w:rPr>
          <w:rFonts w:ascii="Arial" w:hAnsi="Arial" w:cs="Arial"/>
          <w:sz w:val="24"/>
          <w:szCs w:val="24"/>
        </w:rPr>
        <w:t xml:space="preserve">’de aynı dönemde bu oran </w:t>
      </w:r>
      <w:r w:rsidRPr="000C2346">
        <w:rPr>
          <w:rFonts w:ascii="Arial" w:hAnsi="Arial" w:cs="Arial"/>
          <w:sz w:val="24"/>
          <w:szCs w:val="24"/>
        </w:rPr>
        <w:t xml:space="preserve">yüzde </w:t>
      </w:r>
      <w:r w:rsidR="00963058" w:rsidRPr="00286682">
        <w:rPr>
          <w:rFonts w:ascii="Arial" w:hAnsi="Arial" w:cs="Arial"/>
          <w:sz w:val="24"/>
          <w:szCs w:val="24"/>
        </w:rPr>
        <w:t>99,4</w:t>
      </w:r>
      <w:r w:rsidRPr="00286682">
        <w:rPr>
          <w:rFonts w:ascii="Arial" w:hAnsi="Arial" w:cs="Arial"/>
          <w:sz w:val="24"/>
          <w:szCs w:val="24"/>
        </w:rPr>
        <w:t>’</w:t>
      </w:r>
      <w:r w:rsidR="00963058" w:rsidRPr="00286682">
        <w:rPr>
          <w:rFonts w:ascii="Arial" w:hAnsi="Arial" w:cs="Arial"/>
          <w:sz w:val="24"/>
          <w:szCs w:val="24"/>
        </w:rPr>
        <w:t>d</w:t>
      </w:r>
      <w:r w:rsidRPr="00286682">
        <w:rPr>
          <w:rFonts w:ascii="Arial" w:hAnsi="Arial" w:cs="Arial"/>
          <w:sz w:val="24"/>
          <w:szCs w:val="24"/>
        </w:rPr>
        <w:t>en</w:t>
      </w:r>
      <w:r w:rsidRPr="000C2346">
        <w:rPr>
          <w:rFonts w:ascii="Arial" w:hAnsi="Arial" w:cs="Arial"/>
          <w:sz w:val="24"/>
          <w:szCs w:val="24"/>
        </w:rPr>
        <w:t xml:space="preserve"> yüzde </w:t>
      </w:r>
      <w:r w:rsidRPr="00286682">
        <w:rPr>
          <w:rFonts w:ascii="Arial" w:hAnsi="Arial" w:cs="Arial"/>
          <w:sz w:val="24"/>
          <w:szCs w:val="24"/>
        </w:rPr>
        <w:t>10</w:t>
      </w:r>
      <w:r w:rsidR="00963058" w:rsidRPr="00286682">
        <w:rPr>
          <w:rFonts w:ascii="Arial" w:hAnsi="Arial" w:cs="Arial"/>
          <w:sz w:val="24"/>
          <w:szCs w:val="24"/>
        </w:rPr>
        <w:t>2,7</w:t>
      </w:r>
      <w:r w:rsidRPr="00286682">
        <w:rPr>
          <w:rFonts w:ascii="Arial" w:hAnsi="Arial" w:cs="Arial"/>
          <w:sz w:val="24"/>
          <w:szCs w:val="24"/>
        </w:rPr>
        <w:t>’</w:t>
      </w:r>
      <w:r w:rsidR="00963058" w:rsidRPr="00286682">
        <w:rPr>
          <w:rFonts w:ascii="Arial" w:hAnsi="Arial" w:cs="Arial"/>
          <w:sz w:val="24"/>
          <w:szCs w:val="24"/>
        </w:rPr>
        <w:t>y</w:t>
      </w:r>
      <w:r w:rsidRPr="00286682">
        <w:rPr>
          <w:rFonts w:ascii="Arial" w:hAnsi="Arial" w:cs="Arial"/>
          <w:sz w:val="24"/>
          <w:szCs w:val="24"/>
        </w:rPr>
        <w:t>e</w:t>
      </w:r>
      <w:r w:rsidRPr="000C2346">
        <w:rPr>
          <w:rFonts w:ascii="Arial" w:hAnsi="Arial" w:cs="Arial"/>
          <w:sz w:val="24"/>
          <w:szCs w:val="24"/>
        </w:rPr>
        <w:t xml:space="preserve"> yükselmiştir. 2012 yılında genel devlet brüt borç stokunun </w:t>
      </w:r>
      <w:proofErr w:type="spellStart"/>
      <w:r w:rsidRPr="000C2346">
        <w:rPr>
          <w:rFonts w:ascii="Arial" w:hAnsi="Arial" w:cs="Arial"/>
          <w:sz w:val="24"/>
          <w:szCs w:val="24"/>
        </w:rPr>
        <w:t>GSYH’ya</w:t>
      </w:r>
      <w:proofErr w:type="spellEnd"/>
      <w:r w:rsidRPr="000C2346">
        <w:rPr>
          <w:rFonts w:ascii="Arial" w:hAnsi="Arial" w:cs="Arial"/>
          <w:sz w:val="24"/>
          <w:szCs w:val="24"/>
        </w:rPr>
        <w:t xml:space="preserve"> oranın</w:t>
      </w:r>
      <w:r>
        <w:rPr>
          <w:rFonts w:ascii="Arial" w:hAnsi="Arial" w:cs="Arial"/>
          <w:sz w:val="24"/>
          <w:szCs w:val="24"/>
        </w:rPr>
        <w:t>ın</w:t>
      </w:r>
      <w:r w:rsidRPr="000C2346">
        <w:rPr>
          <w:rFonts w:ascii="Arial" w:hAnsi="Arial" w:cs="Arial"/>
          <w:sz w:val="24"/>
          <w:szCs w:val="24"/>
        </w:rPr>
        <w:t xml:space="preserve"> yüzde </w:t>
      </w:r>
      <w:r w:rsidRPr="00286682">
        <w:rPr>
          <w:rFonts w:ascii="Arial" w:hAnsi="Arial" w:cs="Arial"/>
          <w:sz w:val="24"/>
          <w:szCs w:val="24"/>
        </w:rPr>
        <w:t>23</w:t>
      </w:r>
      <w:r w:rsidR="00963058" w:rsidRPr="00286682">
        <w:rPr>
          <w:rFonts w:ascii="Arial" w:hAnsi="Arial" w:cs="Arial"/>
          <w:sz w:val="24"/>
          <w:szCs w:val="24"/>
        </w:rPr>
        <w:t>8</w:t>
      </w:r>
      <w:r>
        <w:rPr>
          <w:rFonts w:ascii="Arial" w:hAnsi="Arial" w:cs="Arial"/>
          <w:sz w:val="24"/>
          <w:szCs w:val="24"/>
        </w:rPr>
        <w:t xml:space="preserve"> </w:t>
      </w:r>
      <w:r w:rsidRPr="000C2346">
        <w:rPr>
          <w:rFonts w:ascii="Arial" w:hAnsi="Arial" w:cs="Arial"/>
          <w:sz w:val="24"/>
          <w:szCs w:val="24"/>
        </w:rPr>
        <w:t xml:space="preserve">seviyesine ulaştığı Japonya’da ekonomiyi canlandırmak için </w:t>
      </w:r>
      <w:r>
        <w:rPr>
          <w:rFonts w:ascii="Arial" w:hAnsi="Arial" w:cs="Arial"/>
          <w:sz w:val="24"/>
          <w:szCs w:val="24"/>
        </w:rPr>
        <w:t xml:space="preserve">yeni </w:t>
      </w:r>
      <w:r w:rsidRPr="000C2346">
        <w:rPr>
          <w:rFonts w:ascii="Arial" w:hAnsi="Arial" w:cs="Arial"/>
          <w:sz w:val="24"/>
          <w:szCs w:val="24"/>
        </w:rPr>
        <w:t>teşvik paketi açıklanması, önümüzdeki dönemde bu oranın daha da yükseleceği</w:t>
      </w:r>
      <w:r>
        <w:rPr>
          <w:rFonts w:ascii="Arial" w:hAnsi="Arial" w:cs="Arial"/>
          <w:sz w:val="24"/>
          <w:szCs w:val="24"/>
        </w:rPr>
        <w:t>ne işaret etmektedir.</w:t>
      </w:r>
      <w:r w:rsidRPr="000C2346">
        <w:rPr>
          <w:rFonts w:ascii="Arial" w:hAnsi="Arial" w:cs="Arial"/>
          <w:sz w:val="24"/>
          <w:szCs w:val="24"/>
        </w:rPr>
        <w:t xml:space="preserve">  </w:t>
      </w:r>
    </w:p>
    <w:p w:rsidR="00456E54" w:rsidRPr="00286682" w:rsidRDefault="00456E54"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86682">
        <w:rPr>
          <w:rFonts w:ascii="Arial" w:hAnsi="Arial" w:cs="Arial"/>
          <w:sz w:val="24"/>
          <w:szCs w:val="24"/>
        </w:rPr>
        <w:t>Gelişmekte olan ekonomilere giden sermaye akımları dalgalı bir seyir izlemektedir. 2012 yılında yaklaşık 22</w:t>
      </w:r>
      <w:r w:rsidR="00286682">
        <w:rPr>
          <w:rFonts w:ascii="Arial" w:hAnsi="Arial" w:cs="Arial"/>
          <w:sz w:val="24"/>
          <w:szCs w:val="24"/>
        </w:rPr>
        <w:t>1</w:t>
      </w:r>
      <w:r w:rsidRPr="00286682">
        <w:rPr>
          <w:rFonts w:ascii="Arial" w:hAnsi="Arial" w:cs="Arial"/>
          <w:sz w:val="24"/>
          <w:szCs w:val="24"/>
        </w:rPr>
        <w:t xml:space="preserve"> milyar dolar olarak gerçekleşen sermaye akımlarının 2013 yılında 40</w:t>
      </w:r>
      <w:r w:rsidR="00286682">
        <w:rPr>
          <w:rFonts w:ascii="Arial" w:hAnsi="Arial" w:cs="Arial"/>
          <w:sz w:val="24"/>
          <w:szCs w:val="24"/>
        </w:rPr>
        <w:t>5</w:t>
      </w:r>
      <w:r w:rsidRPr="00286682">
        <w:rPr>
          <w:rFonts w:ascii="Arial" w:hAnsi="Arial" w:cs="Arial"/>
          <w:sz w:val="24"/>
          <w:szCs w:val="24"/>
        </w:rPr>
        <w:t xml:space="preserve"> milyar dolar ve 2014 yılında ise 36</w:t>
      </w:r>
      <w:r w:rsidR="00286682">
        <w:rPr>
          <w:rFonts w:ascii="Arial" w:hAnsi="Arial" w:cs="Arial"/>
          <w:sz w:val="24"/>
          <w:szCs w:val="24"/>
        </w:rPr>
        <w:t>3</w:t>
      </w:r>
      <w:r w:rsidRPr="00286682">
        <w:rPr>
          <w:rFonts w:ascii="Arial" w:hAnsi="Arial" w:cs="Arial"/>
          <w:sz w:val="24"/>
          <w:szCs w:val="24"/>
        </w:rPr>
        <w:t xml:space="preserve"> milyar dolar civarında olması beklenmektedir.</w:t>
      </w:r>
    </w:p>
    <w:p w:rsidR="001F6D57" w:rsidRDefault="001F6D57"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F9629A">
        <w:rPr>
          <w:rFonts w:ascii="Arial" w:hAnsi="Arial" w:cs="Arial"/>
          <w:sz w:val="24"/>
          <w:szCs w:val="24"/>
        </w:rPr>
        <w:t xml:space="preserve">Küresel düzeyde </w:t>
      </w:r>
      <w:r>
        <w:rPr>
          <w:rFonts w:ascii="Arial" w:hAnsi="Arial" w:cs="Arial"/>
          <w:sz w:val="24"/>
          <w:szCs w:val="24"/>
        </w:rPr>
        <w:t>gelişmiş ülkelerden kaynaklanan</w:t>
      </w:r>
      <w:r w:rsidRPr="001F6D57">
        <w:rPr>
          <w:rFonts w:ascii="Arial" w:hAnsi="Arial" w:cs="Arial"/>
          <w:sz w:val="24"/>
          <w:szCs w:val="24"/>
        </w:rPr>
        <w:t xml:space="preserve"> riskler azalmış olmakla birlikte, halen önemini korumaktadır. Para politikalarına ilişkin yaşanan gelişmeler sonucu varlık fiyatlarında, para, finans ve döviz piyasalarında yeniden dengelenme süreci yaşanmaktadır. Bu çerçevede</w:t>
      </w:r>
      <w:r>
        <w:rPr>
          <w:rFonts w:ascii="Arial" w:hAnsi="Arial" w:cs="Arial"/>
          <w:sz w:val="24"/>
          <w:szCs w:val="24"/>
        </w:rPr>
        <w:t xml:space="preserve"> önümüzdeki döneme ilişkin bazı riskler öne çıkmaktadır.</w:t>
      </w:r>
    </w:p>
    <w:p w:rsidR="001F6D57" w:rsidRPr="001F6D57" w:rsidRDefault="005C042B"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ABD Merkez Bankasının</w:t>
      </w:r>
      <w:r w:rsidR="001F6D57" w:rsidRPr="001F6D57">
        <w:rPr>
          <w:rFonts w:ascii="Arial" w:hAnsi="Arial" w:cs="Arial"/>
          <w:sz w:val="24"/>
          <w:szCs w:val="24"/>
        </w:rPr>
        <w:t xml:space="preserve"> kısa vadede parasal genişlemeden nasıl bir çıkış stratejisi izleyeceği, orta ve uzun vadede ise faiz artırma sürecine nasıl geçileceği </w:t>
      </w:r>
      <w:r w:rsidR="001F6D57" w:rsidRPr="00B53EE1">
        <w:rPr>
          <w:rFonts w:ascii="Arial" w:hAnsi="Arial" w:cs="Arial"/>
          <w:sz w:val="24"/>
          <w:szCs w:val="24"/>
        </w:rPr>
        <w:t xml:space="preserve">küresel likidite koşulları </w:t>
      </w:r>
      <w:r w:rsidR="001F6D57">
        <w:rPr>
          <w:rFonts w:ascii="Arial" w:hAnsi="Arial" w:cs="Arial"/>
          <w:sz w:val="24"/>
          <w:szCs w:val="24"/>
        </w:rPr>
        <w:t xml:space="preserve">ve </w:t>
      </w:r>
      <w:r w:rsidR="001F6D57" w:rsidRPr="001F6D57">
        <w:rPr>
          <w:rFonts w:ascii="Arial" w:hAnsi="Arial" w:cs="Arial"/>
          <w:sz w:val="24"/>
          <w:szCs w:val="24"/>
        </w:rPr>
        <w:t>sermaye akımları üzerinde belirleyici olacaktır. Orta ve uzun vadede sermaye hareketlerinde iktisadi temellerin belirleyici olması beklense de kısa vadede gelişmiş ülkelerin para politikalarından kaynaklanan belirsizlikler finansal dalgalanmalara yol açabilecektir.</w:t>
      </w:r>
    </w:p>
    <w:p w:rsidR="00A866BA" w:rsidRDefault="00A866BA"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A866BA">
        <w:rPr>
          <w:rFonts w:ascii="Arial" w:hAnsi="Arial" w:cs="Arial"/>
          <w:sz w:val="24"/>
          <w:szCs w:val="24"/>
        </w:rPr>
        <w:t>Önümüzdeki dönemde k</w:t>
      </w:r>
      <w:r w:rsidR="001F6D57" w:rsidRPr="00A866BA">
        <w:rPr>
          <w:rFonts w:ascii="Arial" w:hAnsi="Arial" w:cs="Arial"/>
          <w:sz w:val="24"/>
          <w:szCs w:val="24"/>
        </w:rPr>
        <w:t>üresel likiditenin azalacak olması, yapısal sorunlar</w:t>
      </w:r>
      <w:r w:rsidR="00CE42D7">
        <w:rPr>
          <w:rFonts w:ascii="Arial" w:hAnsi="Arial" w:cs="Arial"/>
          <w:sz w:val="24"/>
          <w:szCs w:val="24"/>
        </w:rPr>
        <w:t>a sahip</w:t>
      </w:r>
      <w:r w:rsidR="001F6D57" w:rsidRPr="00A866BA">
        <w:rPr>
          <w:rFonts w:ascii="Arial" w:hAnsi="Arial" w:cs="Arial"/>
          <w:sz w:val="24"/>
          <w:szCs w:val="24"/>
        </w:rPr>
        <w:t xml:space="preserve"> gelişmekte olan ülkeler</w:t>
      </w:r>
      <w:r w:rsidRPr="00A866BA">
        <w:rPr>
          <w:rFonts w:ascii="Arial" w:hAnsi="Arial" w:cs="Arial"/>
          <w:sz w:val="24"/>
          <w:szCs w:val="24"/>
        </w:rPr>
        <w:t>in</w:t>
      </w:r>
      <w:r w:rsidR="001F6D57" w:rsidRPr="00A866BA">
        <w:rPr>
          <w:rFonts w:ascii="Arial" w:hAnsi="Arial" w:cs="Arial"/>
          <w:sz w:val="24"/>
          <w:szCs w:val="24"/>
        </w:rPr>
        <w:t xml:space="preserve"> </w:t>
      </w:r>
      <w:r w:rsidRPr="00A866BA">
        <w:rPr>
          <w:rFonts w:ascii="Arial" w:hAnsi="Arial" w:cs="Arial"/>
          <w:sz w:val="24"/>
          <w:szCs w:val="24"/>
        </w:rPr>
        <w:t xml:space="preserve">piyasalarında oynaklığa yol açabilecek ve bu ülkelerin para birimleri üzerinde </w:t>
      </w:r>
      <w:r w:rsidR="001F6D57" w:rsidRPr="00A866BA">
        <w:rPr>
          <w:rFonts w:ascii="Arial" w:hAnsi="Arial" w:cs="Arial"/>
          <w:sz w:val="24"/>
          <w:szCs w:val="24"/>
        </w:rPr>
        <w:t>baskı oluştur</w:t>
      </w:r>
      <w:r w:rsidRPr="00A866BA">
        <w:rPr>
          <w:rFonts w:ascii="Arial" w:hAnsi="Arial" w:cs="Arial"/>
          <w:sz w:val="24"/>
          <w:szCs w:val="24"/>
        </w:rPr>
        <w:t xml:space="preserve">abilecektir. </w:t>
      </w:r>
    </w:p>
    <w:p w:rsidR="001F6D57" w:rsidRPr="00A866BA" w:rsidRDefault="001F6D57"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A866BA">
        <w:rPr>
          <w:rFonts w:ascii="Arial" w:hAnsi="Arial" w:cs="Arial"/>
          <w:sz w:val="24"/>
          <w:szCs w:val="24"/>
        </w:rPr>
        <w:t>Küresel ekonomiye dair belirsizliklerin ve sermaye akımlarındaki oynaklığın sürmesi enflasyon hedefine ulaşılmasında para politikalarının hareket alanını daraltabilecektir.</w:t>
      </w:r>
    </w:p>
    <w:p w:rsidR="001F6D57" w:rsidRPr="001F6D57" w:rsidRDefault="001F6D57"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1F6D57">
        <w:rPr>
          <w:rFonts w:ascii="Arial" w:hAnsi="Arial" w:cs="Arial"/>
          <w:sz w:val="24"/>
          <w:szCs w:val="24"/>
        </w:rPr>
        <w:t xml:space="preserve">Petrol fiyatlarında yaşanabilecek </w:t>
      </w:r>
      <w:proofErr w:type="spellStart"/>
      <w:r w:rsidRPr="001F6D57">
        <w:rPr>
          <w:rFonts w:ascii="Arial" w:hAnsi="Arial" w:cs="Arial"/>
          <w:sz w:val="24"/>
          <w:szCs w:val="24"/>
        </w:rPr>
        <w:t>konjonktürel</w:t>
      </w:r>
      <w:proofErr w:type="spellEnd"/>
      <w:r w:rsidRPr="001F6D57">
        <w:rPr>
          <w:rFonts w:ascii="Arial" w:hAnsi="Arial" w:cs="Arial"/>
          <w:sz w:val="24"/>
          <w:szCs w:val="24"/>
        </w:rPr>
        <w:t xml:space="preserve"> fiyat artışları </w:t>
      </w:r>
      <w:r w:rsidR="003E3CAB">
        <w:rPr>
          <w:rFonts w:ascii="Arial" w:hAnsi="Arial" w:cs="Arial"/>
          <w:sz w:val="24"/>
          <w:szCs w:val="24"/>
        </w:rPr>
        <w:t xml:space="preserve">enflasyonist baskıları artırabilecek ve enerji ithalatçısı ülkelerde </w:t>
      </w:r>
      <w:r w:rsidRPr="001F6D57">
        <w:rPr>
          <w:rFonts w:ascii="Arial" w:hAnsi="Arial" w:cs="Arial"/>
          <w:sz w:val="24"/>
          <w:szCs w:val="24"/>
        </w:rPr>
        <w:t xml:space="preserve">cari açık ve risk primleri üzerinde doğrudan ve dolaylı olumsuz etki yaratabilecektir. </w:t>
      </w:r>
    </w:p>
    <w:p w:rsidR="00C01B11" w:rsidRDefault="001F6D57"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Özetle, k</w:t>
      </w:r>
      <w:r w:rsidRPr="000C2346">
        <w:rPr>
          <w:rFonts w:ascii="Arial" w:hAnsi="Arial" w:cs="Arial"/>
          <w:sz w:val="24"/>
          <w:szCs w:val="24"/>
        </w:rPr>
        <w:t xml:space="preserve">üresel kriz süresince uygulanan </w:t>
      </w:r>
      <w:r>
        <w:rPr>
          <w:rFonts w:ascii="Arial" w:hAnsi="Arial" w:cs="Arial"/>
          <w:sz w:val="24"/>
          <w:szCs w:val="24"/>
        </w:rPr>
        <w:t>eşzamanlı parasal genişleme ve ekonomiyi canlandırma paketlerinin etkisiyle</w:t>
      </w:r>
      <w:r w:rsidRPr="000C2346">
        <w:rPr>
          <w:rFonts w:ascii="Arial" w:hAnsi="Arial" w:cs="Arial"/>
          <w:sz w:val="24"/>
          <w:szCs w:val="24"/>
        </w:rPr>
        <w:t xml:space="preserve"> </w:t>
      </w:r>
      <w:r>
        <w:rPr>
          <w:rFonts w:ascii="Arial" w:hAnsi="Arial" w:cs="Arial"/>
          <w:sz w:val="24"/>
          <w:szCs w:val="24"/>
        </w:rPr>
        <w:t xml:space="preserve">krizin daha da derinleşmesi engellenmiş, </w:t>
      </w:r>
      <w:r w:rsidRPr="000C2346">
        <w:rPr>
          <w:rFonts w:ascii="Arial" w:hAnsi="Arial" w:cs="Arial"/>
          <w:sz w:val="24"/>
          <w:szCs w:val="24"/>
        </w:rPr>
        <w:t xml:space="preserve">hem Avrupa’da hem de ABD’de </w:t>
      </w:r>
      <w:r>
        <w:rPr>
          <w:rFonts w:ascii="Arial" w:hAnsi="Arial" w:cs="Arial"/>
          <w:sz w:val="24"/>
          <w:szCs w:val="24"/>
        </w:rPr>
        <w:t>yeniden derin bir krizin meydana gelmesi</w:t>
      </w:r>
      <w:r w:rsidRPr="000C2346">
        <w:rPr>
          <w:rFonts w:ascii="Arial" w:hAnsi="Arial" w:cs="Arial"/>
          <w:sz w:val="24"/>
          <w:szCs w:val="24"/>
        </w:rPr>
        <w:t xml:space="preserve"> </w:t>
      </w:r>
      <w:r>
        <w:rPr>
          <w:rFonts w:ascii="Arial" w:hAnsi="Arial" w:cs="Arial"/>
          <w:sz w:val="24"/>
          <w:szCs w:val="24"/>
        </w:rPr>
        <w:t xml:space="preserve">ve </w:t>
      </w:r>
      <w:r w:rsidRPr="000C2346">
        <w:rPr>
          <w:rFonts w:ascii="Arial" w:hAnsi="Arial" w:cs="Arial"/>
          <w:sz w:val="24"/>
          <w:szCs w:val="24"/>
        </w:rPr>
        <w:t xml:space="preserve">küresel </w:t>
      </w:r>
      <w:r>
        <w:rPr>
          <w:rFonts w:ascii="Arial" w:hAnsi="Arial" w:cs="Arial"/>
          <w:sz w:val="24"/>
          <w:szCs w:val="24"/>
        </w:rPr>
        <w:t>düzeyde</w:t>
      </w:r>
      <w:r w:rsidRPr="000C2346">
        <w:rPr>
          <w:rFonts w:ascii="Arial" w:hAnsi="Arial" w:cs="Arial"/>
          <w:sz w:val="24"/>
          <w:szCs w:val="24"/>
        </w:rPr>
        <w:t xml:space="preserve"> </w:t>
      </w:r>
      <w:r>
        <w:rPr>
          <w:rFonts w:ascii="Arial" w:hAnsi="Arial" w:cs="Arial"/>
          <w:sz w:val="24"/>
          <w:szCs w:val="24"/>
        </w:rPr>
        <w:t>ikinci bir çöküş riski azalmıştır</w:t>
      </w:r>
      <w:r w:rsidRPr="000C2346">
        <w:rPr>
          <w:rFonts w:ascii="Arial" w:hAnsi="Arial" w:cs="Arial"/>
          <w:sz w:val="24"/>
          <w:szCs w:val="24"/>
        </w:rPr>
        <w:t>.</w:t>
      </w:r>
      <w:r>
        <w:rPr>
          <w:rFonts w:ascii="Arial" w:hAnsi="Arial" w:cs="Arial"/>
          <w:sz w:val="24"/>
          <w:szCs w:val="24"/>
        </w:rPr>
        <w:t xml:space="preserve"> Bu süreçte</w:t>
      </w:r>
      <w:r w:rsidRPr="000C2346">
        <w:rPr>
          <w:rFonts w:ascii="Arial" w:hAnsi="Arial" w:cs="Arial"/>
          <w:sz w:val="24"/>
          <w:szCs w:val="24"/>
        </w:rPr>
        <w:t xml:space="preserve"> </w:t>
      </w:r>
      <w:r>
        <w:rPr>
          <w:rFonts w:ascii="Arial" w:hAnsi="Arial" w:cs="Arial"/>
          <w:sz w:val="24"/>
          <w:szCs w:val="24"/>
        </w:rPr>
        <w:t>g</w:t>
      </w:r>
      <w:r w:rsidRPr="000C2346">
        <w:rPr>
          <w:rFonts w:ascii="Arial" w:hAnsi="Arial" w:cs="Arial"/>
          <w:sz w:val="24"/>
          <w:szCs w:val="24"/>
        </w:rPr>
        <w:t xml:space="preserve">elişmiş ülkelerde güven göstergeleri iyileşmiş, </w:t>
      </w:r>
      <w:r>
        <w:rPr>
          <w:rFonts w:ascii="Arial" w:hAnsi="Arial" w:cs="Arial"/>
          <w:sz w:val="24"/>
          <w:szCs w:val="24"/>
        </w:rPr>
        <w:t xml:space="preserve">ılımlı bir toparlanma başlamış, </w:t>
      </w:r>
      <w:r w:rsidRPr="000C2346">
        <w:rPr>
          <w:rFonts w:ascii="Arial" w:hAnsi="Arial" w:cs="Arial"/>
          <w:sz w:val="24"/>
          <w:szCs w:val="24"/>
        </w:rPr>
        <w:t>Avro Bölgesinde sorunlu ülkelerin kamu finansman maliyetleri azalmış</w:t>
      </w:r>
      <w:r>
        <w:rPr>
          <w:rFonts w:ascii="Arial" w:hAnsi="Arial" w:cs="Arial"/>
          <w:sz w:val="24"/>
          <w:szCs w:val="24"/>
        </w:rPr>
        <w:t xml:space="preserve"> ve</w:t>
      </w:r>
      <w:r w:rsidRPr="000C2346">
        <w:rPr>
          <w:rFonts w:ascii="Arial" w:hAnsi="Arial" w:cs="Arial"/>
          <w:sz w:val="24"/>
          <w:szCs w:val="24"/>
        </w:rPr>
        <w:t xml:space="preserve"> parasal aktarım mekanizmasındaki aksaklıklar</w:t>
      </w:r>
      <w:r>
        <w:rPr>
          <w:rFonts w:ascii="Arial" w:hAnsi="Arial" w:cs="Arial"/>
          <w:sz w:val="24"/>
          <w:szCs w:val="24"/>
        </w:rPr>
        <w:t xml:space="preserve"> kısmen</w:t>
      </w:r>
      <w:r w:rsidRPr="000C2346">
        <w:rPr>
          <w:rFonts w:ascii="Arial" w:hAnsi="Arial" w:cs="Arial"/>
          <w:sz w:val="24"/>
          <w:szCs w:val="24"/>
        </w:rPr>
        <w:t xml:space="preserve"> aşılmış</w:t>
      </w:r>
      <w:r w:rsidR="00C01B11">
        <w:rPr>
          <w:rFonts w:ascii="Arial" w:hAnsi="Arial" w:cs="Arial"/>
          <w:sz w:val="24"/>
          <w:szCs w:val="24"/>
        </w:rPr>
        <w:t>tır.</w:t>
      </w:r>
      <w:r w:rsidRPr="000C2346">
        <w:rPr>
          <w:rFonts w:ascii="Arial" w:hAnsi="Arial" w:cs="Arial"/>
          <w:sz w:val="24"/>
          <w:szCs w:val="24"/>
        </w:rPr>
        <w:t xml:space="preserve"> </w:t>
      </w:r>
      <w:r>
        <w:rPr>
          <w:rFonts w:ascii="Arial" w:hAnsi="Arial" w:cs="Arial"/>
          <w:sz w:val="24"/>
          <w:szCs w:val="24"/>
        </w:rPr>
        <w:t>Ayrıca, f</w:t>
      </w:r>
      <w:r w:rsidRPr="001B2495">
        <w:rPr>
          <w:rFonts w:ascii="Arial" w:hAnsi="Arial" w:cs="Arial"/>
          <w:sz w:val="24"/>
          <w:szCs w:val="24"/>
        </w:rPr>
        <w:t>inansal koşullarda yaşanan iyileşme</w:t>
      </w:r>
      <w:r>
        <w:rPr>
          <w:rFonts w:ascii="Arial" w:hAnsi="Arial" w:cs="Arial"/>
          <w:sz w:val="24"/>
          <w:szCs w:val="24"/>
        </w:rPr>
        <w:t>,</w:t>
      </w:r>
      <w:r w:rsidRPr="001B2495">
        <w:rPr>
          <w:rFonts w:ascii="Arial" w:hAnsi="Arial" w:cs="Arial"/>
          <w:sz w:val="24"/>
          <w:szCs w:val="24"/>
        </w:rPr>
        <w:t xml:space="preserve"> </w:t>
      </w:r>
      <w:r w:rsidRPr="000C2346">
        <w:rPr>
          <w:rFonts w:ascii="Arial" w:hAnsi="Arial" w:cs="Arial"/>
          <w:sz w:val="24"/>
          <w:szCs w:val="24"/>
        </w:rPr>
        <w:t>düşük faizler</w:t>
      </w:r>
      <w:r>
        <w:rPr>
          <w:rFonts w:ascii="Arial" w:hAnsi="Arial" w:cs="Arial"/>
          <w:sz w:val="24"/>
          <w:szCs w:val="24"/>
        </w:rPr>
        <w:t>,</w:t>
      </w:r>
      <w:r w:rsidRPr="000C2346">
        <w:rPr>
          <w:rFonts w:ascii="Arial" w:hAnsi="Arial" w:cs="Arial"/>
          <w:sz w:val="24"/>
          <w:szCs w:val="24"/>
        </w:rPr>
        <w:t xml:space="preserve"> </w:t>
      </w:r>
      <w:r>
        <w:rPr>
          <w:rFonts w:ascii="Arial" w:hAnsi="Arial" w:cs="Arial"/>
          <w:sz w:val="24"/>
          <w:szCs w:val="24"/>
        </w:rPr>
        <w:t>artan</w:t>
      </w:r>
      <w:r w:rsidRPr="000C2346">
        <w:rPr>
          <w:rFonts w:ascii="Arial" w:hAnsi="Arial" w:cs="Arial"/>
          <w:sz w:val="24"/>
          <w:szCs w:val="24"/>
        </w:rPr>
        <w:t xml:space="preserve"> küresel likidite </w:t>
      </w:r>
      <w:r w:rsidRPr="001B2495">
        <w:rPr>
          <w:rFonts w:ascii="Arial" w:hAnsi="Arial" w:cs="Arial"/>
          <w:sz w:val="24"/>
          <w:szCs w:val="24"/>
        </w:rPr>
        <w:t>ve risk iştahı gelişmekte olan ülkelere gi</w:t>
      </w:r>
      <w:r>
        <w:rPr>
          <w:rFonts w:ascii="Arial" w:hAnsi="Arial" w:cs="Arial"/>
          <w:sz w:val="24"/>
          <w:szCs w:val="24"/>
        </w:rPr>
        <w:t>d</w:t>
      </w:r>
      <w:r w:rsidRPr="001B2495">
        <w:rPr>
          <w:rFonts w:ascii="Arial" w:hAnsi="Arial" w:cs="Arial"/>
          <w:sz w:val="24"/>
          <w:szCs w:val="24"/>
        </w:rPr>
        <w:t>en kısa vadeli sermaye akımların</w:t>
      </w:r>
      <w:r>
        <w:rPr>
          <w:rFonts w:ascii="Arial" w:hAnsi="Arial" w:cs="Arial"/>
          <w:sz w:val="24"/>
          <w:szCs w:val="24"/>
        </w:rPr>
        <w:t>ın</w:t>
      </w:r>
      <w:r w:rsidRPr="001B2495">
        <w:rPr>
          <w:rFonts w:ascii="Arial" w:hAnsi="Arial" w:cs="Arial"/>
          <w:sz w:val="24"/>
          <w:szCs w:val="24"/>
        </w:rPr>
        <w:t xml:space="preserve"> artmasına neden olmuştur.</w:t>
      </w:r>
      <w:r>
        <w:rPr>
          <w:rFonts w:ascii="Arial" w:hAnsi="Arial" w:cs="Arial"/>
          <w:sz w:val="24"/>
          <w:szCs w:val="24"/>
        </w:rPr>
        <w:t xml:space="preserve"> Ancak, </w:t>
      </w:r>
      <w:r w:rsidRPr="003E3CAB">
        <w:rPr>
          <w:rFonts w:ascii="Arial" w:hAnsi="Arial" w:cs="Arial"/>
          <w:sz w:val="24"/>
          <w:szCs w:val="24"/>
        </w:rPr>
        <w:t>özellikle 201</w:t>
      </w:r>
      <w:r w:rsidR="003E3CAB" w:rsidRPr="0000005D">
        <w:rPr>
          <w:rFonts w:ascii="Arial" w:hAnsi="Arial" w:cs="Arial"/>
          <w:sz w:val="24"/>
          <w:szCs w:val="24"/>
        </w:rPr>
        <w:t>2</w:t>
      </w:r>
      <w:r>
        <w:rPr>
          <w:rFonts w:ascii="Arial" w:hAnsi="Arial" w:cs="Arial"/>
          <w:sz w:val="24"/>
          <w:szCs w:val="24"/>
        </w:rPr>
        <w:t xml:space="preserve"> yılının başına kadar yüksek seyreden gelişmekte olan ülkelere yönelen sermaye akımları</w:t>
      </w:r>
      <w:r w:rsidR="003E3CAB">
        <w:rPr>
          <w:rFonts w:ascii="Arial" w:hAnsi="Arial" w:cs="Arial"/>
          <w:sz w:val="24"/>
          <w:szCs w:val="24"/>
        </w:rPr>
        <w:t>nın azalması veya tersine dönmesi</w:t>
      </w:r>
      <w:r>
        <w:rPr>
          <w:rFonts w:ascii="Arial" w:hAnsi="Arial" w:cs="Arial"/>
          <w:sz w:val="24"/>
          <w:szCs w:val="24"/>
        </w:rPr>
        <w:t xml:space="preserve"> bu ülkelerde kırılganlığı artırmıştır. Parasal genişlemenin sona erme sürecinin nasıl ve ne zaman başlayacağına yönelik belirsizlik sonucunda, 2013 yılı ortasından itibaren gelişmekte olan ülkeleri etkileyen bir dalgalanma süreci başlamış ve küresel ekonomi yeni bir evreye girmiştir. </w:t>
      </w:r>
    </w:p>
    <w:p w:rsidR="00C01B11" w:rsidRPr="001F6D57" w:rsidRDefault="00C01B11"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1F6D57">
        <w:rPr>
          <w:rFonts w:ascii="Arial" w:hAnsi="Arial" w:cs="Arial"/>
          <w:sz w:val="24"/>
          <w:szCs w:val="24"/>
        </w:rPr>
        <w:t xml:space="preserve">Küresel belirsizliklerin arttığı ve dış finansman koşullarının giderek zorlaştığı </w:t>
      </w:r>
      <w:proofErr w:type="gramStart"/>
      <w:r w:rsidRPr="001F6D57">
        <w:rPr>
          <w:rFonts w:ascii="Arial" w:hAnsi="Arial" w:cs="Arial"/>
          <w:sz w:val="24"/>
          <w:szCs w:val="24"/>
        </w:rPr>
        <w:t>konjonktürde</w:t>
      </w:r>
      <w:proofErr w:type="gramEnd"/>
      <w:r w:rsidRPr="001F6D57">
        <w:rPr>
          <w:rFonts w:ascii="Arial" w:hAnsi="Arial" w:cs="Arial"/>
          <w:sz w:val="24"/>
          <w:szCs w:val="24"/>
        </w:rPr>
        <w:t xml:space="preserve"> Türkiye ekonomisinin dayanıklılığının korunması açısından son yıllarda uygulanan ihtiyatlı maliye politikalarının önümüzdeki dönemde de devam etmesi kritik önem taşımaktadır. Mali disiplinin kalitesini artıracak, tasarruf açığını azaltacak, kaynakların üretken alanlara yönlendirilmesini sağlayacak, iş ve yatırım ortamını daha da geliştirecek</w:t>
      </w:r>
      <w:r w:rsidR="003E3CAB">
        <w:rPr>
          <w:rFonts w:ascii="Arial" w:hAnsi="Arial" w:cs="Arial"/>
          <w:sz w:val="24"/>
          <w:szCs w:val="24"/>
        </w:rPr>
        <w:t>, işgücü piyasalarında esnekliği artıracak ve kayıtlı ekonomiye geçişi hızlandıracak</w:t>
      </w:r>
      <w:r w:rsidRPr="001F6D57">
        <w:rPr>
          <w:rFonts w:ascii="Arial" w:hAnsi="Arial" w:cs="Arial"/>
          <w:sz w:val="24"/>
          <w:szCs w:val="24"/>
        </w:rPr>
        <w:t xml:space="preserve"> yapısal reformların sürdürülmesi ekonomide istikrarı destekleyecektir. </w:t>
      </w:r>
    </w:p>
    <w:p w:rsidR="009C3FF3" w:rsidRPr="00276B6A" w:rsidRDefault="009C3FF3" w:rsidP="00D71AD9">
      <w:pPr>
        <w:spacing w:after="120" w:line="360" w:lineRule="auto"/>
        <w:ind w:firstLine="709"/>
        <w:jc w:val="both"/>
        <w:rPr>
          <w:rFonts w:ascii="Arial" w:hAnsi="Arial" w:cs="Arial"/>
          <w:b/>
          <w:sz w:val="24"/>
          <w:szCs w:val="24"/>
        </w:rPr>
      </w:pPr>
      <w:r w:rsidRPr="00276B6A">
        <w:rPr>
          <w:rFonts w:ascii="Arial" w:hAnsi="Arial" w:cs="Arial"/>
          <w:b/>
          <w:sz w:val="24"/>
          <w:szCs w:val="24"/>
        </w:rPr>
        <w:t>B. TÜRKİYE EKONOMİSİ</w:t>
      </w:r>
    </w:p>
    <w:p w:rsidR="002269E2" w:rsidRDefault="002269E2"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2010 ve 2011 yıllarında</w:t>
      </w:r>
      <w:r w:rsidR="00C01B11">
        <w:rPr>
          <w:rFonts w:ascii="Arial" w:hAnsi="Arial" w:cs="Arial"/>
          <w:sz w:val="24"/>
          <w:szCs w:val="24"/>
        </w:rPr>
        <w:t xml:space="preserve"> kaydedilen</w:t>
      </w:r>
      <w:r>
        <w:rPr>
          <w:rFonts w:ascii="Arial" w:hAnsi="Arial" w:cs="Arial"/>
          <w:sz w:val="24"/>
          <w:szCs w:val="24"/>
        </w:rPr>
        <w:t xml:space="preserve"> yüksek büyüme</w:t>
      </w:r>
      <w:r w:rsidR="00C01B11">
        <w:rPr>
          <w:rFonts w:ascii="Arial" w:hAnsi="Arial" w:cs="Arial"/>
          <w:sz w:val="24"/>
          <w:szCs w:val="24"/>
        </w:rPr>
        <w:t xml:space="preserve"> hızları</w:t>
      </w:r>
      <w:r>
        <w:rPr>
          <w:rFonts w:ascii="Arial" w:hAnsi="Arial" w:cs="Arial"/>
          <w:sz w:val="24"/>
          <w:szCs w:val="24"/>
        </w:rPr>
        <w:t xml:space="preserve"> sonrasında iç ve dış talebi dengelemeye yönelik alınan tedbirler sonucunda 2012 yılında büyüme hızı yavaşlamıştır.</w:t>
      </w:r>
    </w:p>
    <w:p w:rsidR="008945B4" w:rsidRDefault="00932B67"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 xml:space="preserve">2012 </w:t>
      </w:r>
      <w:r w:rsidR="003722D9" w:rsidRPr="00276B6A">
        <w:rPr>
          <w:rFonts w:ascii="Arial" w:hAnsi="Arial" w:cs="Arial"/>
          <w:sz w:val="24"/>
          <w:szCs w:val="24"/>
        </w:rPr>
        <w:t>yılın</w:t>
      </w:r>
      <w:r w:rsidRPr="00276B6A">
        <w:rPr>
          <w:rFonts w:ascii="Arial" w:hAnsi="Arial" w:cs="Arial"/>
          <w:sz w:val="24"/>
          <w:szCs w:val="24"/>
        </w:rPr>
        <w:t>ın</w:t>
      </w:r>
      <w:r w:rsidR="003722D9" w:rsidRPr="00276B6A">
        <w:rPr>
          <w:rFonts w:ascii="Arial" w:hAnsi="Arial" w:cs="Arial"/>
          <w:sz w:val="24"/>
          <w:szCs w:val="24"/>
        </w:rPr>
        <w:t xml:space="preserve"> özellikle son çeyreğinde</w:t>
      </w:r>
      <w:r w:rsidR="002726B9">
        <w:rPr>
          <w:rFonts w:ascii="Arial" w:hAnsi="Arial" w:cs="Arial"/>
          <w:sz w:val="24"/>
          <w:szCs w:val="24"/>
        </w:rPr>
        <w:t>,</w:t>
      </w:r>
      <w:r w:rsidR="003722D9" w:rsidRPr="00276B6A">
        <w:rPr>
          <w:rFonts w:ascii="Arial" w:hAnsi="Arial" w:cs="Arial"/>
          <w:sz w:val="24"/>
          <w:szCs w:val="24"/>
        </w:rPr>
        <w:t xml:space="preserve"> </w:t>
      </w:r>
      <w:r w:rsidR="002726B9">
        <w:rPr>
          <w:rFonts w:ascii="Arial" w:hAnsi="Arial" w:cs="Arial"/>
          <w:sz w:val="24"/>
          <w:szCs w:val="24"/>
        </w:rPr>
        <w:t>net mal ve hizmet ihracatının büyümeye katkısı</w:t>
      </w:r>
      <w:r w:rsidR="00F604E5" w:rsidRPr="00835019">
        <w:rPr>
          <w:rFonts w:ascii="Arial" w:hAnsi="Arial" w:cs="Arial"/>
          <w:sz w:val="24"/>
          <w:szCs w:val="24"/>
        </w:rPr>
        <w:t>nın</w:t>
      </w:r>
      <w:r w:rsidR="002726B9">
        <w:rPr>
          <w:rFonts w:ascii="Arial" w:hAnsi="Arial" w:cs="Arial"/>
          <w:sz w:val="24"/>
          <w:szCs w:val="24"/>
        </w:rPr>
        <w:t xml:space="preserve"> tahmin edilenin üzerinde gerçekleşmesine rağmen, </w:t>
      </w:r>
      <w:r w:rsidR="003722D9" w:rsidRPr="00276B6A">
        <w:rPr>
          <w:rFonts w:ascii="Arial" w:hAnsi="Arial" w:cs="Arial"/>
          <w:sz w:val="24"/>
          <w:szCs w:val="24"/>
        </w:rPr>
        <w:t xml:space="preserve">özel tüketim ve yatırımlarda beklenenin üzerinde kaydedilen daralma </w:t>
      </w:r>
      <w:r w:rsidR="002726B9">
        <w:rPr>
          <w:rFonts w:ascii="Arial" w:hAnsi="Arial" w:cs="Arial"/>
          <w:sz w:val="24"/>
          <w:szCs w:val="24"/>
        </w:rPr>
        <w:t>nedeniyle</w:t>
      </w:r>
      <w:r w:rsidR="00B54409" w:rsidRPr="00276B6A">
        <w:rPr>
          <w:rFonts w:ascii="Arial" w:hAnsi="Arial" w:cs="Arial"/>
          <w:sz w:val="24"/>
          <w:szCs w:val="24"/>
        </w:rPr>
        <w:t xml:space="preserve"> </w:t>
      </w:r>
      <w:r w:rsidRPr="00276B6A">
        <w:rPr>
          <w:rFonts w:ascii="Arial" w:hAnsi="Arial" w:cs="Arial"/>
          <w:sz w:val="24"/>
          <w:szCs w:val="24"/>
        </w:rPr>
        <w:t>yüzde 3,2 olarak tahmin ed</w:t>
      </w:r>
      <w:r w:rsidRPr="00835019">
        <w:rPr>
          <w:rFonts w:ascii="Arial" w:hAnsi="Arial" w:cs="Arial"/>
          <w:sz w:val="24"/>
          <w:szCs w:val="24"/>
        </w:rPr>
        <w:t xml:space="preserve">ilen </w:t>
      </w:r>
      <w:r w:rsidR="00F604E5" w:rsidRPr="00835019">
        <w:rPr>
          <w:rFonts w:ascii="Arial" w:hAnsi="Arial" w:cs="Arial"/>
          <w:sz w:val="24"/>
          <w:szCs w:val="24"/>
        </w:rPr>
        <w:t xml:space="preserve">2012 yılı </w:t>
      </w:r>
      <w:r w:rsidRPr="00835019">
        <w:rPr>
          <w:rFonts w:ascii="Arial" w:hAnsi="Arial" w:cs="Arial"/>
          <w:sz w:val="24"/>
          <w:szCs w:val="24"/>
        </w:rPr>
        <w:t>büyüme</w:t>
      </w:r>
      <w:r w:rsidR="00F604E5" w:rsidRPr="00835019">
        <w:rPr>
          <w:rFonts w:ascii="Arial" w:hAnsi="Arial" w:cs="Arial"/>
          <w:sz w:val="24"/>
          <w:szCs w:val="24"/>
        </w:rPr>
        <w:t>si</w:t>
      </w:r>
      <w:r w:rsidRPr="00835019">
        <w:rPr>
          <w:rFonts w:ascii="Arial" w:hAnsi="Arial" w:cs="Arial"/>
          <w:sz w:val="24"/>
          <w:szCs w:val="24"/>
        </w:rPr>
        <w:t xml:space="preserve"> </w:t>
      </w:r>
      <w:r w:rsidR="003722D9" w:rsidRPr="00835019">
        <w:rPr>
          <w:rFonts w:ascii="Arial" w:hAnsi="Arial" w:cs="Arial"/>
          <w:sz w:val="24"/>
          <w:szCs w:val="24"/>
        </w:rPr>
        <w:t xml:space="preserve">yüzde 2,2 seviyesinde gerçekleşmiştir. </w:t>
      </w:r>
      <w:r w:rsidR="00C52F86" w:rsidRPr="00835019">
        <w:rPr>
          <w:rFonts w:ascii="Arial" w:hAnsi="Arial" w:cs="Arial"/>
          <w:sz w:val="24"/>
          <w:szCs w:val="24"/>
        </w:rPr>
        <w:t>2012 yılında sanayi sektörü</w:t>
      </w:r>
      <w:r w:rsidR="00F604E5" w:rsidRPr="00835019">
        <w:rPr>
          <w:rFonts w:ascii="Arial" w:hAnsi="Arial" w:cs="Arial"/>
          <w:sz w:val="24"/>
          <w:szCs w:val="24"/>
        </w:rPr>
        <w:t>nde</w:t>
      </w:r>
      <w:r w:rsidR="00C52F86" w:rsidRPr="00835019">
        <w:rPr>
          <w:rFonts w:ascii="Arial" w:hAnsi="Arial" w:cs="Arial"/>
          <w:sz w:val="24"/>
          <w:szCs w:val="24"/>
        </w:rPr>
        <w:t xml:space="preserve"> yüzde </w:t>
      </w:r>
      <w:r w:rsidR="00066B5F" w:rsidRPr="00835019">
        <w:rPr>
          <w:rFonts w:ascii="Arial" w:hAnsi="Arial" w:cs="Arial"/>
          <w:sz w:val="24"/>
          <w:szCs w:val="24"/>
        </w:rPr>
        <w:t>1,9</w:t>
      </w:r>
      <w:r w:rsidR="00C52F86" w:rsidRPr="00835019">
        <w:rPr>
          <w:rFonts w:ascii="Arial" w:hAnsi="Arial" w:cs="Arial"/>
          <w:sz w:val="24"/>
          <w:szCs w:val="24"/>
        </w:rPr>
        <w:t>, hizmetler sektörü</w:t>
      </w:r>
      <w:r w:rsidR="00F604E5" w:rsidRPr="00835019">
        <w:rPr>
          <w:rFonts w:ascii="Arial" w:hAnsi="Arial" w:cs="Arial"/>
          <w:sz w:val="24"/>
          <w:szCs w:val="24"/>
        </w:rPr>
        <w:t>nde</w:t>
      </w:r>
      <w:r w:rsidR="00C52F86" w:rsidRPr="00835019">
        <w:rPr>
          <w:rFonts w:ascii="Arial" w:hAnsi="Arial" w:cs="Arial"/>
          <w:sz w:val="24"/>
          <w:szCs w:val="24"/>
        </w:rPr>
        <w:t xml:space="preserve"> yüzde 2,4 ve tarım sektörü</w:t>
      </w:r>
      <w:r w:rsidR="00F604E5" w:rsidRPr="00835019">
        <w:rPr>
          <w:rFonts w:ascii="Arial" w:hAnsi="Arial" w:cs="Arial"/>
          <w:sz w:val="24"/>
          <w:szCs w:val="24"/>
        </w:rPr>
        <w:t>nde</w:t>
      </w:r>
      <w:r w:rsidR="00C52F86" w:rsidRPr="00835019">
        <w:rPr>
          <w:rFonts w:ascii="Arial" w:hAnsi="Arial" w:cs="Arial"/>
          <w:sz w:val="24"/>
          <w:szCs w:val="24"/>
        </w:rPr>
        <w:t xml:space="preserve"> yüzde 3,</w:t>
      </w:r>
      <w:r w:rsidR="00066B5F" w:rsidRPr="00835019">
        <w:rPr>
          <w:rFonts w:ascii="Arial" w:hAnsi="Arial" w:cs="Arial"/>
          <w:sz w:val="24"/>
          <w:szCs w:val="24"/>
        </w:rPr>
        <w:t>1</w:t>
      </w:r>
      <w:r w:rsidR="00C52F86" w:rsidRPr="00276B6A">
        <w:rPr>
          <w:rFonts w:ascii="Arial" w:hAnsi="Arial" w:cs="Arial"/>
          <w:sz w:val="24"/>
          <w:szCs w:val="24"/>
        </w:rPr>
        <w:t xml:space="preserve"> oranında katma değer artışı ka</w:t>
      </w:r>
      <w:r w:rsidR="00066B5F">
        <w:rPr>
          <w:rFonts w:ascii="Arial" w:hAnsi="Arial" w:cs="Arial"/>
          <w:sz w:val="24"/>
          <w:szCs w:val="24"/>
        </w:rPr>
        <w:t>yde</w:t>
      </w:r>
      <w:r w:rsidR="002269E2">
        <w:rPr>
          <w:rFonts w:ascii="Arial" w:hAnsi="Arial" w:cs="Arial"/>
          <w:sz w:val="24"/>
          <w:szCs w:val="24"/>
        </w:rPr>
        <w:t>dil</w:t>
      </w:r>
      <w:r w:rsidR="00066B5F">
        <w:rPr>
          <w:rFonts w:ascii="Arial" w:hAnsi="Arial" w:cs="Arial"/>
          <w:sz w:val="24"/>
          <w:szCs w:val="24"/>
        </w:rPr>
        <w:t xml:space="preserve">miştir. Sanayi ve hizmetlerde </w:t>
      </w:r>
      <w:r w:rsidR="00C52F86" w:rsidRPr="00276B6A">
        <w:rPr>
          <w:rFonts w:ascii="Arial" w:hAnsi="Arial" w:cs="Arial"/>
          <w:sz w:val="24"/>
          <w:szCs w:val="24"/>
        </w:rPr>
        <w:t>büyüme hızları beklentilerin alt</w:t>
      </w:r>
      <w:r w:rsidR="00066B5F">
        <w:rPr>
          <w:rFonts w:ascii="Arial" w:hAnsi="Arial" w:cs="Arial"/>
          <w:sz w:val="24"/>
          <w:szCs w:val="24"/>
        </w:rPr>
        <w:t xml:space="preserve">ında kalmıştır. </w:t>
      </w:r>
    </w:p>
    <w:p w:rsidR="00C52F86" w:rsidRPr="00276B6A" w:rsidRDefault="00B54409"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 xml:space="preserve">2013 yılının ilk </w:t>
      </w:r>
      <w:r w:rsidR="00ED1D61" w:rsidRPr="00276B6A">
        <w:rPr>
          <w:rFonts w:ascii="Arial" w:hAnsi="Arial" w:cs="Arial"/>
          <w:sz w:val="24"/>
          <w:szCs w:val="24"/>
        </w:rPr>
        <w:t>yarısında</w:t>
      </w:r>
      <w:r w:rsidRPr="00276B6A">
        <w:rPr>
          <w:rFonts w:ascii="Arial" w:hAnsi="Arial" w:cs="Arial"/>
          <w:sz w:val="24"/>
          <w:szCs w:val="24"/>
        </w:rPr>
        <w:t xml:space="preserve"> yurt</w:t>
      </w:r>
      <w:r w:rsidR="00994C34">
        <w:rPr>
          <w:rFonts w:ascii="Arial" w:hAnsi="Arial" w:cs="Arial"/>
          <w:sz w:val="24"/>
          <w:szCs w:val="24"/>
        </w:rPr>
        <w:t xml:space="preserve"> </w:t>
      </w:r>
      <w:r w:rsidRPr="00276B6A">
        <w:rPr>
          <w:rFonts w:ascii="Arial" w:hAnsi="Arial" w:cs="Arial"/>
          <w:sz w:val="24"/>
          <w:szCs w:val="24"/>
        </w:rPr>
        <w:t>içi talep tekrar canlanma eğilimine girmiş</w:t>
      </w:r>
      <w:r w:rsidR="009A7265">
        <w:rPr>
          <w:rFonts w:ascii="Arial" w:hAnsi="Arial" w:cs="Arial"/>
          <w:sz w:val="24"/>
          <w:szCs w:val="24"/>
        </w:rPr>
        <w:t>;</w:t>
      </w:r>
      <w:r w:rsidRPr="00276B6A">
        <w:rPr>
          <w:rFonts w:ascii="Arial" w:hAnsi="Arial" w:cs="Arial"/>
          <w:sz w:val="24"/>
          <w:szCs w:val="24"/>
        </w:rPr>
        <w:t xml:space="preserve"> özel </w:t>
      </w:r>
      <w:r w:rsidR="007D53AB">
        <w:rPr>
          <w:rFonts w:ascii="Arial" w:hAnsi="Arial" w:cs="Arial"/>
          <w:sz w:val="24"/>
          <w:szCs w:val="24"/>
        </w:rPr>
        <w:t xml:space="preserve">ve </w:t>
      </w:r>
      <w:r w:rsidR="0078541E">
        <w:rPr>
          <w:rFonts w:ascii="Arial" w:hAnsi="Arial" w:cs="Arial"/>
          <w:sz w:val="24"/>
          <w:szCs w:val="24"/>
        </w:rPr>
        <w:t>kamu tüketim</w:t>
      </w:r>
      <w:r w:rsidR="007D53AB">
        <w:rPr>
          <w:rFonts w:ascii="Arial" w:hAnsi="Arial" w:cs="Arial"/>
          <w:sz w:val="24"/>
          <w:szCs w:val="24"/>
        </w:rPr>
        <w:t>i</w:t>
      </w:r>
      <w:r w:rsidR="0078541E">
        <w:rPr>
          <w:rFonts w:ascii="Arial" w:hAnsi="Arial" w:cs="Arial"/>
          <w:sz w:val="24"/>
          <w:szCs w:val="24"/>
        </w:rPr>
        <w:t xml:space="preserve"> </w:t>
      </w:r>
      <w:r w:rsidR="007D53AB">
        <w:rPr>
          <w:rFonts w:ascii="Arial" w:hAnsi="Arial" w:cs="Arial"/>
          <w:sz w:val="24"/>
          <w:szCs w:val="24"/>
        </w:rPr>
        <w:t>ile</w:t>
      </w:r>
      <w:r w:rsidR="0078541E">
        <w:rPr>
          <w:rFonts w:ascii="Arial" w:hAnsi="Arial" w:cs="Arial"/>
          <w:sz w:val="24"/>
          <w:szCs w:val="24"/>
        </w:rPr>
        <w:t xml:space="preserve"> </w:t>
      </w:r>
      <w:r w:rsidRPr="00276B6A">
        <w:rPr>
          <w:rFonts w:ascii="Arial" w:hAnsi="Arial" w:cs="Arial"/>
          <w:sz w:val="24"/>
          <w:szCs w:val="24"/>
        </w:rPr>
        <w:t>kamu sabit sermaye yatırımları kaynaklı bir büyüme gerçekleşmiş</w:t>
      </w:r>
      <w:r w:rsidR="009A7265">
        <w:rPr>
          <w:rFonts w:ascii="Arial" w:hAnsi="Arial" w:cs="Arial"/>
          <w:sz w:val="24"/>
          <w:szCs w:val="24"/>
        </w:rPr>
        <w:t>tir.</w:t>
      </w:r>
      <w:r w:rsidR="005702B0" w:rsidRPr="00276B6A">
        <w:rPr>
          <w:rFonts w:ascii="Arial" w:hAnsi="Arial" w:cs="Arial"/>
          <w:sz w:val="24"/>
          <w:szCs w:val="24"/>
        </w:rPr>
        <w:t xml:space="preserve"> </w:t>
      </w:r>
      <w:r w:rsidR="00DE75FC">
        <w:rPr>
          <w:rFonts w:ascii="Arial" w:hAnsi="Arial" w:cs="Arial"/>
          <w:sz w:val="24"/>
          <w:szCs w:val="24"/>
        </w:rPr>
        <w:t>İ</w:t>
      </w:r>
      <w:r w:rsidR="00DE75FC" w:rsidRPr="00276B6A">
        <w:rPr>
          <w:rFonts w:ascii="Arial" w:hAnsi="Arial" w:cs="Arial"/>
          <w:sz w:val="24"/>
          <w:szCs w:val="24"/>
        </w:rPr>
        <w:t>thalattaki</w:t>
      </w:r>
      <w:r w:rsidR="00C52F86" w:rsidRPr="00276B6A">
        <w:rPr>
          <w:rFonts w:ascii="Arial" w:hAnsi="Arial" w:cs="Arial"/>
          <w:sz w:val="24"/>
          <w:szCs w:val="24"/>
        </w:rPr>
        <w:t xml:space="preserve"> hızlanma nedeniyle net ihracatın büyümeye katkısı negatif 1,8 puan olarak kaydedilmiştir. </w:t>
      </w:r>
      <w:r w:rsidR="009A7265">
        <w:rPr>
          <w:rFonts w:ascii="Arial" w:hAnsi="Arial" w:cs="Arial"/>
          <w:sz w:val="24"/>
          <w:szCs w:val="24"/>
        </w:rPr>
        <w:t>İlk altı aydaki yüzde 3,7</w:t>
      </w:r>
      <w:r w:rsidR="00835019">
        <w:rPr>
          <w:rFonts w:ascii="Arial" w:hAnsi="Arial" w:cs="Arial"/>
          <w:sz w:val="24"/>
          <w:szCs w:val="24"/>
        </w:rPr>
        <w:t xml:space="preserve"> oranında</w:t>
      </w:r>
      <w:r w:rsidR="009A7265">
        <w:rPr>
          <w:rFonts w:ascii="Arial" w:hAnsi="Arial" w:cs="Arial"/>
          <w:sz w:val="24"/>
          <w:szCs w:val="24"/>
        </w:rPr>
        <w:t xml:space="preserve"> büyümenin ardından y</w:t>
      </w:r>
      <w:r w:rsidRPr="00276B6A">
        <w:rPr>
          <w:rFonts w:ascii="Arial" w:hAnsi="Arial" w:cs="Arial"/>
          <w:sz w:val="24"/>
          <w:szCs w:val="24"/>
        </w:rPr>
        <w:t>ılın ikinci yarısı</w:t>
      </w:r>
      <w:r w:rsidR="00ED1D61" w:rsidRPr="00276B6A">
        <w:rPr>
          <w:rFonts w:ascii="Arial" w:hAnsi="Arial" w:cs="Arial"/>
          <w:sz w:val="24"/>
          <w:szCs w:val="24"/>
        </w:rPr>
        <w:t>nda</w:t>
      </w:r>
      <w:r w:rsidR="00BF12C6">
        <w:rPr>
          <w:rFonts w:ascii="Arial" w:hAnsi="Arial" w:cs="Arial"/>
          <w:sz w:val="24"/>
          <w:szCs w:val="24"/>
        </w:rPr>
        <w:t>,</w:t>
      </w:r>
      <w:r w:rsidR="00ED1D61" w:rsidRPr="00276B6A">
        <w:rPr>
          <w:rFonts w:ascii="Arial" w:hAnsi="Arial" w:cs="Arial"/>
          <w:sz w:val="24"/>
          <w:szCs w:val="24"/>
        </w:rPr>
        <w:t xml:space="preserve"> </w:t>
      </w:r>
      <w:r w:rsidR="00BF12C6">
        <w:rPr>
          <w:rFonts w:ascii="Arial" w:hAnsi="Arial" w:cs="Arial"/>
          <w:sz w:val="24"/>
          <w:szCs w:val="24"/>
        </w:rPr>
        <w:t xml:space="preserve">ilk yarıda olduğu gibi, </w:t>
      </w:r>
      <w:r w:rsidR="00ED1D61" w:rsidRPr="00276B6A">
        <w:rPr>
          <w:rFonts w:ascii="Arial" w:hAnsi="Arial" w:cs="Arial"/>
          <w:sz w:val="24"/>
          <w:szCs w:val="24"/>
        </w:rPr>
        <w:t>nihai yurt</w:t>
      </w:r>
      <w:r w:rsidR="00994C34">
        <w:rPr>
          <w:rFonts w:ascii="Arial" w:hAnsi="Arial" w:cs="Arial"/>
          <w:sz w:val="24"/>
          <w:szCs w:val="24"/>
        </w:rPr>
        <w:t xml:space="preserve"> </w:t>
      </w:r>
      <w:r w:rsidR="00ED1D61" w:rsidRPr="00276B6A">
        <w:rPr>
          <w:rFonts w:ascii="Arial" w:hAnsi="Arial" w:cs="Arial"/>
          <w:sz w:val="24"/>
          <w:szCs w:val="24"/>
        </w:rPr>
        <w:t xml:space="preserve">içi talebin büyümeye </w:t>
      </w:r>
      <w:r w:rsidR="00BF12C6">
        <w:rPr>
          <w:rFonts w:ascii="Arial" w:hAnsi="Arial" w:cs="Arial"/>
          <w:sz w:val="24"/>
          <w:szCs w:val="24"/>
        </w:rPr>
        <w:t xml:space="preserve">olumlu katkısının, net ihracatın ise büyümeye negatif katkısının </w:t>
      </w:r>
      <w:r w:rsidR="00ED1D61" w:rsidRPr="00276B6A">
        <w:rPr>
          <w:rFonts w:ascii="Arial" w:hAnsi="Arial" w:cs="Arial"/>
          <w:sz w:val="24"/>
          <w:szCs w:val="24"/>
        </w:rPr>
        <w:t xml:space="preserve">devam </w:t>
      </w:r>
      <w:r w:rsidR="00BF12C6">
        <w:rPr>
          <w:rFonts w:ascii="Arial" w:hAnsi="Arial" w:cs="Arial"/>
          <w:sz w:val="24"/>
          <w:szCs w:val="24"/>
        </w:rPr>
        <w:t>etmesi</w:t>
      </w:r>
      <w:r w:rsidR="00ED1D61" w:rsidRPr="00276B6A">
        <w:rPr>
          <w:rFonts w:ascii="Arial" w:hAnsi="Arial" w:cs="Arial"/>
          <w:sz w:val="24"/>
          <w:szCs w:val="24"/>
        </w:rPr>
        <w:t xml:space="preserve"> </w:t>
      </w:r>
      <w:r w:rsidR="00F604E5" w:rsidRPr="00835019">
        <w:rPr>
          <w:rFonts w:ascii="Arial" w:hAnsi="Arial" w:cs="Arial"/>
          <w:sz w:val="24"/>
          <w:szCs w:val="24"/>
        </w:rPr>
        <w:t>öngörülmektedir</w:t>
      </w:r>
      <w:r w:rsidR="00F604E5">
        <w:rPr>
          <w:rFonts w:ascii="Arial" w:hAnsi="Arial" w:cs="Arial"/>
          <w:sz w:val="24"/>
          <w:szCs w:val="24"/>
        </w:rPr>
        <w:t xml:space="preserve">. </w:t>
      </w:r>
      <w:r w:rsidR="00FD3964">
        <w:rPr>
          <w:rFonts w:ascii="Arial" w:hAnsi="Arial" w:cs="Arial"/>
          <w:sz w:val="24"/>
          <w:szCs w:val="24"/>
        </w:rPr>
        <w:t>Yılın üçüncü ve dördüncü çeyreğinde</w:t>
      </w:r>
      <w:r w:rsidR="00BF6DB7">
        <w:rPr>
          <w:rFonts w:ascii="Arial" w:hAnsi="Arial" w:cs="Arial"/>
          <w:sz w:val="24"/>
          <w:szCs w:val="24"/>
        </w:rPr>
        <w:t xml:space="preserve"> sanayi üretiminin </w:t>
      </w:r>
      <w:r w:rsidR="007D53AB">
        <w:rPr>
          <w:rFonts w:ascii="Arial" w:hAnsi="Arial" w:cs="Arial"/>
          <w:sz w:val="24"/>
          <w:szCs w:val="24"/>
        </w:rPr>
        <w:t>artış eğilimini koruması</w:t>
      </w:r>
      <w:r w:rsidR="00FD3964">
        <w:rPr>
          <w:rFonts w:ascii="Arial" w:hAnsi="Arial" w:cs="Arial"/>
          <w:sz w:val="24"/>
          <w:szCs w:val="24"/>
        </w:rPr>
        <w:t>,</w:t>
      </w:r>
      <w:r w:rsidR="00BF6DB7">
        <w:rPr>
          <w:rFonts w:ascii="Arial" w:hAnsi="Arial" w:cs="Arial"/>
          <w:sz w:val="24"/>
          <w:szCs w:val="24"/>
        </w:rPr>
        <w:t xml:space="preserve"> büyümeye hizmetler sektörünün yüksek katkı vermeye devam etmesi beklenmektedir. </w:t>
      </w:r>
      <w:r w:rsidR="003B2D88" w:rsidRPr="00F604E5">
        <w:rPr>
          <w:rFonts w:ascii="Arial" w:hAnsi="Arial" w:cs="Arial"/>
          <w:sz w:val="24"/>
          <w:szCs w:val="24"/>
        </w:rPr>
        <w:t>Böylece, f</w:t>
      </w:r>
      <w:r w:rsidR="00C52F86" w:rsidRPr="00F604E5">
        <w:rPr>
          <w:rFonts w:ascii="Arial" w:hAnsi="Arial" w:cs="Arial"/>
          <w:sz w:val="24"/>
          <w:szCs w:val="24"/>
        </w:rPr>
        <w:t>inansal göstergeler</w:t>
      </w:r>
      <w:r w:rsidR="008C09A7" w:rsidRPr="00F604E5">
        <w:rPr>
          <w:rFonts w:ascii="Arial" w:hAnsi="Arial" w:cs="Arial"/>
          <w:sz w:val="24"/>
          <w:szCs w:val="24"/>
        </w:rPr>
        <w:t>deki dalga</w:t>
      </w:r>
      <w:r w:rsidR="003B2D88" w:rsidRPr="00F604E5">
        <w:rPr>
          <w:rFonts w:ascii="Arial" w:hAnsi="Arial" w:cs="Arial"/>
          <w:sz w:val="24"/>
          <w:szCs w:val="24"/>
        </w:rPr>
        <w:t>lanmanın reel ekonomiye etkisi</w:t>
      </w:r>
      <w:r w:rsidR="008C09A7" w:rsidRPr="00F604E5">
        <w:rPr>
          <w:rFonts w:ascii="Arial" w:hAnsi="Arial" w:cs="Arial"/>
          <w:sz w:val="24"/>
          <w:szCs w:val="24"/>
        </w:rPr>
        <w:t>nin sınırlı kal</w:t>
      </w:r>
      <w:r w:rsidR="00F604E5" w:rsidRPr="00F604E5">
        <w:rPr>
          <w:rFonts w:ascii="Arial" w:hAnsi="Arial" w:cs="Arial"/>
          <w:sz w:val="24"/>
          <w:szCs w:val="24"/>
        </w:rPr>
        <w:t>acağı</w:t>
      </w:r>
      <w:r w:rsidR="003B2D88" w:rsidRPr="00835019">
        <w:rPr>
          <w:rFonts w:ascii="Arial" w:hAnsi="Arial" w:cs="Arial"/>
          <w:sz w:val="24"/>
          <w:szCs w:val="24"/>
        </w:rPr>
        <w:t xml:space="preserve"> </w:t>
      </w:r>
      <w:r w:rsidR="00F604E5" w:rsidRPr="00835019">
        <w:rPr>
          <w:rFonts w:ascii="Arial" w:hAnsi="Arial" w:cs="Arial"/>
          <w:sz w:val="24"/>
          <w:szCs w:val="24"/>
        </w:rPr>
        <w:t>öngörüsü</w:t>
      </w:r>
      <w:r w:rsidR="003B2D88" w:rsidRPr="00835019">
        <w:rPr>
          <w:rFonts w:ascii="Arial" w:hAnsi="Arial" w:cs="Arial"/>
          <w:sz w:val="24"/>
          <w:szCs w:val="24"/>
        </w:rPr>
        <w:t xml:space="preserve"> </w:t>
      </w:r>
      <w:r w:rsidR="003B2D88" w:rsidRPr="00F604E5">
        <w:rPr>
          <w:rFonts w:ascii="Arial" w:hAnsi="Arial" w:cs="Arial"/>
          <w:sz w:val="24"/>
          <w:szCs w:val="24"/>
        </w:rPr>
        <w:t>altında,</w:t>
      </w:r>
      <w:r w:rsidR="008C09A7" w:rsidRPr="00F604E5">
        <w:rPr>
          <w:rFonts w:ascii="Arial" w:hAnsi="Arial" w:cs="Arial"/>
          <w:sz w:val="24"/>
          <w:szCs w:val="24"/>
        </w:rPr>
        <w:t xml:space="preserve"> </w:t>
      </w:r>
      <w:r w:rsidRPr="00F604E5">
        <w:rPr>
          <w:rFonts w:ascii="Arial" w:hAnsi="Arial" w:cs="Arial"/>
          <w:sz w:val="24"/>
          <w:szCs w:val="24"/>
        </w:rPr>
        <w:t>2013 yılında büyümenin yüzde 3,</w:t>
      </w:r>
      <w:r w:rsidR="00ED1D61" w:rsidRPr="00F604E5">
        <w:rPr>
          <w:rFonts w:ascii="Arial" w:hAnsi="Arial" w:cs="Arial"/>
          <w:sz w:val="24"/>
          <w:szCs w:val="24"/>
        </w:rPr>
        <w:t>6</w:t>
      </w:r>
      <w:r w:rsidRPr="00835019">
        <w:rPr>
          <w:rFonts w:ascii="Arial" w:hAnsi="Arial" w:cs="Arial"/>
          <w:sz w:val="24"/>
          <w:szCs w:val="24"/>
        </w:rPr>
        <w:t xml:space="preserve"> </w:t>
      </w:r>
      <w:r w:rsidR="00F604E5" w:rsidRPr="00835019">
        <w:rPr>
          <w:rFonts w:ascii="Arial" w:hAnsi="Arial" w:cs="Arial"/>
          <w:sz w:val="24"/>
          <w:szCs w:val="24"/>
        </w:rPr>
        <w:t xml:space="preserve">olacağı tahmin edilmektedir. </w:t>
      </w:r>
    </w:p>
    <w:p w:rsidR="0000005D" w:rsidRPr="00A57D65" w:rsidRDefault="0000005D"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A57D65">
        <w:rPr>
          <w:rFonts w:ascii="Arial" w:hAnsi="Arial" w:cs="Arial"/>
          <w:sz w:val="24"/>
          <w:szCs w:val="24"/>
        </w:rPr>
        <w:t xml:space="preserve">2012 yılında büyümeye katkı tamamen sermaye stoku ve yüksek oranda artış gösteren istihdamdan gelmiştir. Önemli oranda gerileyen toplam faktör verimliliği (TFV) büyümeye negatif katkı yapmıştır. 2013 yılında da 2012 yılına benzer bir yapının oluşacağı ve büyümenin temel belirleyicilerinin istihdam ve artan kapasite kullanım oranının etkisiyle sermaye stoku olacağı öngörülmektedir. 2013 yılında sermaye stokunun, istihdamın ve </w:t>
      </w:r>
      <w:proofErr w:type="spellStart"/>
      <w:r w:rsidRPr="00A57D65">
        <w:rPr>
          <w:rFonts w:ascii="Arial" w:hAnsi="Arial" w:cs="Arial"/>
          <w:sz w:val="24"/>
          <w:szCs w:val="24"/>
        </w:rPr>
        <w:t>TFV’nin</w:t>
      </w:r>
      <w:proofErr w:type="spellEnd"/>
      <w:r w:rsidRPr="00A57D65">
        <w:rPr>
          <w:rFonts w:ascii="Arial" w:hAnsi="Arial" w:cs="Arial"/>
          <w:sz w:val="24"/>
          <w:szCs w:val="24"/>
        </w:rPr>
        <w:t xml:space="preserve"> büyümeye katkıları sırasıyla yüzde 69, yüzde 56,4 ve yüzde  -25,4 olacaktır. Bir önceki yıldan farklı olarak, </w:t>
      </w:r>
      <w:proofErr w:type="spellStart"/>
      <w:r w:rsidRPr="00A57D65">
        <w:rPr>
          <w:rFonts w:ascii="Arial" w:hAnsi="Arial" w:cs="Arial"/>
          <w:sz w:val="24"/>
          <w:szCs w:val="24"/>
        </w:rPr>
        <w:t>TFV’nin</w:t>
      </w:r>
      <w:proofErr w:type="spellEnd"/>
      <w:r w:rsidRPr="00A57D65">
        <w:rPr>
          <w:rFonts w:ascii="Arial" w:hAnsi="Arial" w:cs="Arial"/>
          <w:sz w:val="24"/>
          <w:szCs w:val="24"/>
        </w:rPr>
        <w:t xml:space="preserve"> negatif katkısının bir miktar azalması beklenmektedir. 2014 yılı ve sonrasında </w:t>
      </w:r>
      <w:proofErr w:type="spellStart"/>
      <w:r w:rsidRPr="00A57D65">
        <w:rPr>
          <w:rFonts w:ascii="Arial" w:hAnsi="Arial" w:cs="Arial"/>
          <w:sz w:val="24"/>
          <w:szCs w:val="24"/>
        </w:rPr>
        <w:t>TFV’nin</w:t>
      </w:r>
      <w:proofErr w:type="spellEnd"/>
      <w:r w:rsidRPr="00A57D65">
        <w:rPr>
          <w:rFonts w:ascii="Arial" w:hAnsi="Arial" w:cs="Arial"/>
          <w:sz w:val="24"/>
          <w:szCs w:val="24"/>
        </w:rPr>
        <w:t xml:space="preserve"> büyümeye pozitif katkı sağlayacağı ve bu sayede büyümenin potansiyel düzeyine yakınsayacağı öngörülmektedir.</w:t>
      </w:r>
    </w:p>
    <w:p w:rsidR="006F0E48" w:rsidRDefault="001C143F"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 xml:space="preserve">Haziran 2013 </w:t>
      </w:r>
      <w:r w:rsidR="006E7F18">
        <w:rPr>
          <w:rFonts w:ascii="Arial" w:hAnsi="Arial" w:cs="Arial"/>
          <w:sz w:val="24"/>
          <w:szCs w:val="24"/>
        </w:rPr>
        <w:t xml:space="preserve">itibarıyla </w:t>
      </w:r>
      <w:r w:rsidR="006C5E66">
        <w:rPr>
          <w:rFonts w:ascii="Arial" w:hAnsi="Arial" w:cs="Arial"/>
          <w:sz w:val="24"/>
          <w:szCs w:val="24"/>
        </w:rPr>
        <w:t>5</w:t>
      </w:r>
      <w:r w:rsidR="00B65ADB">
        <w:rPr>
          <w:rFonts w:ascii="Arial" w:hAnsi="Arial" w:cs="Arial"/>
          <w:sz w:val="24"/>
          <w:szCs w:val="24"/>
        </w:rPr>
        <w:t>70</w:t>
      </w:r>
      <w:r w:rsidR="006C5E66">
        <w:rPr>
          <w:rFonts w:ascii="Arial" w:hAnsi="Arial" w:cs="Arial"/>
          <w:sz w:val="24"/>
          <w:szCs w:val="24"/>
        </w:rPr>
        <w:t xml:space="preserve"> bin</w:t>
      </w:r>
      <w:r w:rsidR="00D315F0">
        <w:rPr>
          <w:rFonts w:ascii="Arial" w:hAnsi="Arial" w:cs="Arial"/>
          <w:sz w:val="24"/>
          <w:szCs w:val="24"/>
        </w:rPr>
        <w:t xml:space="preserve"> kişi</w:t>
      </w:r>
      <w:r w:rsidR="006C5E66">
        <w:rPr>
          <w:rFonts w:ascii="Arial" w:hAnsi="Arial" w:cs="Arial"/>
          <w:sz w:val="24"/>
          <w:szCs w:val="24"/>
        </w:rPr>
        <w:t xml:space="preserve"> hizmetler sektöründe </w:t>
      </w:r>
      <w:r w:rsidR="00B65ADB">
        <w:rPr>
          <w:rFonts w:ascii="Arial" w:hAnsi="Arial" w:cs="Arial"/>
          <w:sz w:val="24"/>
          <w:szCs w:val="24"/>
        </w:rPr>
        <w:t xml:space="preserve">(inşaat </w:t>
      </w:r>
      <w:proofErr w:type="gramStart"/>
      <w:r w:rsidR="00B65ADB">
        <w:rPr>
          <w:rFonts w:ascii="Arial" w:hAnsi="Arial" w:cs="Arial"/>
          <w:sz w:val="24"/>
          <w:szCs w:val="24"/>
        </w:rPr>
        <w:t>dahil</w:t>
      </w:r>
      <w:proofErr w:type="gramEnd"/>
      <w:r w:rsidR="00B65ADB">
        <w:rPr>
          <w:rFonts w:ascii="Arial" w:hAnsi="Arial" w:cs="Arial"/>
          <w:sz w:val="24"/>
          <w:szCs w:val="24"/>
        </w:rPr>
        <w:t xml:space="preserve">) </w:t>
      </w:r>
      <w:r w:rsidR="006C5E66">
        <w:rPr>
          <w:rFonts w:ascii="Arial" w:hAnsi="Arial" w:cs="Arial"/>
          <w:sz w:val="24"/>
          <w:szCs w:val="24"/>
        </w:rPr>
        <w:t xml:space="preserve">olmak üzere toplam istihdam </w:t>
      </w:r>
      <w:r w:rsidR="006E7F18">
        <w:rPr>
          <w:rFonts w:ascii="Arial" w:hAnsi="Arial" w:cs="Arial"/>
          <w:sz w:val="24"/>
          <w:szCs w:val="24"/>
        </w:rPr>
        <w:t xml:space="preserve">son bir yılda </w:t>
      </w:r>
      <w:r>
        <w:rPr>
          <w:rFonts w:ascii="Arial" w:hAnsi="Arial" w:cs="Arial"/>
          <w:sz w:val="24"/>
          <w:szCs w:val="24"/>
        </w:rPr>
        <w:t>7</w:t>
      </w:r>
      <w:r w:rsidR="00580EC0">
        <w:rPr>
          <w:rFonts w:ascii="Arial" w:hAnsi="Arial" w:cs="Arial"/>
          <w:sz w:val="24"/>
          <w:szCs w:val="24"/>
        </w:rPr>
        <w:t>42</w:t>
      </w:r>
      <w:r w:rsidR="005A61C4" w:rsidRPr="00EA262E">
        <w:rPr>
          <w:rFonts w:ascii="Arial" w:hAnsi="Arial" w:cs="Arial"/>
          <w:sz w:val="24"/>
          <w:szCs w:val="24"/>
        </w:rPr>
        <w:t xml:space="preserve"> bin kişi artış kaydetmiştir.</w:t>
      </w:r>
      <w:r w:rsidR="006F0E48">
        <w:rPr>
          <w:rFonts w:ascii="Arial" w:hAnsi="Arial" w:cs="Arial"/>
          <w:sz w:val="24"/>
          <w:szCs w:val="24"/>
        </w:rPr>
        <w:t xml:space="preserve"> Tarım dışında istihdam artışı ise 823 bin kişi olmuştur.</w:t>
      </w:r>
      <w:r w:rsidR="005A61C4" w:rsidRPr="00EA262E">
        <w:rPr>
          <w:rFonts w:ascii="Arial" w:hAnsi="Arial" w:cs="Arial"/>
          <w:sz w:val="24"/>
          <w:szCs w:val="24"/>
        </w:rPr>
        <w:t xml:space="preserve"> </w:t>
      </w:r>
      <w:r w:rsidR="006E7F18">
        <w:rPr>
          <w:rFonts w:ascii="Arial" w:hAnsi="Arial" w:cs="Arial"/>
          <w:sz w:val="24"/>
          <w:szCs w:val="24"/>
        </w:rPr>
        <w:t>Bu dönemde istihdam oranı</w:t>
      </w:r>
      <w:r w:rsidR="00A62EF9">
        <w:rPr>
          <w:rFonts w:ascii="Arial" w:hAnsi="Arial" w:cs="Arial"/>
          <w:sz w:val="24"/>
          <w:szCs w:val="24"/>
        </w:rPr>
        <w:t xml:space="preserve"> yüzde </w:t>
      </w:r>
      <w:r w:rsidR="006E7F18">
        <w:rPr>
          <w:rFonts w:ascii="Arial" w:hAnsi="Arial" w:cs="Arial"/>
          <w:sz w:val="24"/>
          <w:szCs w:val="24"/>
        </w:rPr>
        <w:t>46,8’den yüzde 47,4’e</w:t>
      </w:r>
      <w:r w:rsidR="005A61C4" w:rsidRPr="00EA262E">
        <w:rPr>
          <w:rFonts w:ascii="Arial" w:hAnsi="Arial" w:cs="Arial"/>
          <w:sz w:val="24"/>
          <w:szCs w:val="24"/>
        </w:rPr>
        <w:t xml:space="preserve"> yükselmiştir. İşsizlik oranı ise </w:t>
      </w:r>
      <w:r w:rsidR="006E7F18">
        <w:rPr>
          <w:rFonts w:ascii="Arial" w:hAnsi="Arial" w:cs="Arial"/>
          <w:sz w:val="24"/>
          <w:szCs w:val="24"/>
        </w:rPr>
        <w:t xml:space="preserve">aynı dönemde yüzde 0,8 puan artışla yüzde 8,8 olarak gerçekleşmiştir. </w:t>
      </w:r>
      <w:r w:rsidR="001C245D">
        <w:rPr>
          <w:rFonts w:ascii="Arial" w:hAnsi="Arial" w:cs="Arial"/>
          <w:sz w:val="24"/>
          <w:szCs w:val="24"/>
        </w:rPr>
        <w:t xml:space="preserve">İstihdamdaki yüksek artışa rağmen işsizlik oranındaki </w:t>
      </w:r>
      <w:r w:rsidR="00920B93">
        <w:rPr>
          <w:rFonts w:ascii="Arial" w:hAnsi="Arial" w:cs="Arial"/>
          <w:sz w:val="24"/>
          <w:szCs w:val="24"/>
        </w:rPr>
        <w:t>bu yükselişte</w:t>
      </w:r>
      <w:r w:rsidR="001C245D">
        <w:rPr>
          <w:rFonts w:ascii="Arial" w:hAnsi="Arial" w:cs="Arial"/>
          <w:sz w:val="24"/>
          <w:szCs w:val="24"/>
        </w:rPr>
        <w:t xml:space="preserve"> işgücüne katıl</w:t>
      </w:r>
      <w:r w:rsidR="00D315F0">
        <w:rPr>
          <w:rFonts w:ascii="Arial" w:hAnsi="Arial" w:cs="Arial"/>
          <w:sz w:val="24"/>
          <w:szCs w:val="24"/>
        </w:rPr>
        <w:t>ım</w:t>
      </w:r>
      <w:r w:rsidR="001C245D">
        <w:rPr>
          <w:rFonts w:ascii="Arial" w:hAnsi="Arial" w:cs="Arial"/>
          <w:sz w:val="24"/>
          <w:szCs w:val="24"/>
        </w:rPr>
        <w:t xml:space="preserve"> oranının söz konusu dönemde 1,</w:t>
      </w:r>
      <w:r w:rsidR="00920B93">
        <w:rPr>
          <w:rFonts w:ascii="Arial" w:hAnsi="Arial" w:cs="Arial"/>
          <w:sz w:val="24"/>
          <w:szCs w:val="24"/>
        </w:rPr>
        <w:t>1</w:t>
      </w:r>
      <w:r w:rsidR="001C245D">
        <w:rPr>
          <w:rFonts w:ascii="Arial" w:hAnsi="Arial" w:cs="Arial"/>
          <w:sz w:val="24"/>
          <w:szCs w:val="24"/>
        </w:rPr>
        <w:t xml:space="preserve"> puan artması belirleyici olmuştur.</w:t>
      </w:r>
      <w:r w:rsidR="001F408E">
        <w:rPr>
          <w:rFonts w:ascii="Arial" w:hAnsi="Arial" w:cs="Arial"/>
          <w:sz w:val="24"/>
          <w:szCs w:val="24"/>
        </w:rPr>
        <w:t xml:space="preserve"> </w:t>
      </w:r>
    </w:p>
    <w:p w:rsidR="00C633B7" w:rsidRPr="009606C7" w:rsidRDefault="00861C49"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9606C7">
        <w:rPr>
          <w:rFonts w:ascii="Arial" w:hAnsi="Arial" w:cs="Arial"/>
          <w:sz w:val="24"/>
          <w:szCs w:val="24"/>
        </w:rPr>
        <w:t>2011 yılının son çeyreğinde</w:t>
      </w:r>
      <w:r w:rsidR="00236835" w:rsidRPr="009606C7">
        <w:rPr>
          <w:rFonts w:ascii="Arial" w:hAnsi="Arial" w:cs="Arial"/>
          <w:sz w:val="24"/>
          <w:szCs w:val="24"/>
        </w:rPr>
        <w:t>n</w:t>
      </w:r>
      <w:r w:rsidRPr="009606C7">
        <w:rPr>
          <w:rFonts w:ascii="Arial" w:hAnsi="Arial" w:cs="Arial"/>
          <w:sz w:val="24"/>
          <w:szCs w:val="24"/>
        </w:rPr>
        <w:t xml:space="preserve"> </w:t>
      </w:r>
      <w:r w:rsidR="00236835" w:rsidRPr="009606C7">
        <w:rPr>
          <w:rFonts w:ascii="Arial" w:hAnsi="Arial" w:cs="Arial"/>
          <w:sz w:val="24"/>
          <w:szCs w:val="24"/>
        </w:rPr>
        <w:t xml:space="preserve">itibaren </w:t>
      </w:r>
      <w:r w:rsidRPr="009606C7">
        <w:rPr>
          <w:rFonts w:ascii="Arial" w:hAnsi="Arial" w:cs="Arial"/>
          <w:sz w:val="24"/>
          <w:szCs w:val="24"/>
        </w:rPr>
        <w:t xml:space="preserve">başlayan ekonomideki yavaşlama neticesinde, 2012 yılında ithalat </w:t>
      </w:r>
      <w:proofErr w:type="gramStart"/>
      <w:r w:rsidRPr="009606C7">
        <w:rPr>
          <w:rFonts w:ascii="Arial" w:hAnsi="Arial" w:cs="Arial"/>
          <w:sz w:val="24"/>
          <w:szCs w:val="24"/>
        </w:rPr>
        <w:t>nominal</w:t>
      </w:r>
      <w:proofErr w:type="gramEnd"/>
      <w:r w:rsidRPr="009606C7">
        <w:rPr>
          <w:rFonts w:ascii="Arial" w:hAnsi="Arial" w:cs="Arial"/>
          <w:sz w:val="24"/>
          <w:szCs w:val="24"/>
        </w:rPr>
        <w:t xml:space="preserve"> olarak azalmış ve</w:t>
      </w:r>
      <w:r w:rsidR="00C633B7" w:rsidRPr="009606C7">
        <w:rPr>
          <w:rFonts w:ascii="Arial" w:hAnsi="Arial" w:cs="Arial"/>
          <w:sz w:val="24"/>
          <w:szCs w:val="24"/>
        </w:rPr>
        <w:t xml:space="preserve"> </w:t>
      </w:r>
      <w:r w:rsidR="004B0801" w:rsidRPr="009606C7">
        <w:rPr>
          <w:rFonts w:ascii="Arial" w:hAnsi="Arial" w:cs="Arial"/>
          <w:sz w:val="24"/>
          <w:szCs w:val="24"/>
        </w:rPr>
        <w:t xml:space="preserve">dış ticaret açığı 105,9 milyar dolardan 84,1 milyar dolara gerilemiştir. Bu gelişmede, </w:t>
      </w:r>
      <w:r w:rsidR="00C633B7" w:rsidRPr="009606C7">
        <w:rPr>
          <w:rFonts w:ascii="Arial" w:hAnsi="Arial" w:cs="Arial"/>
          <w:sz w:val="24"/>
          <w:szCs w:val="24"/>
        </w:rPr>
        <w:t xml:space="preserve">enerji </w:t>
      </w:r>
      <w:r w:rsidR="006E6523" w:rsidRPr="009606C7">
        <w:rPr>
          <w:rFonts w:ascii="Arial" w:hAnsi="Arial" w:cs="Arial"/>
          <w:sz w:val="24"/>
          <w:szCs w:val="24"/>
        </w:rPr>
        <w:t xml:space="preserve">hariç </w:t>
      </w:r>
      <w:r w:rsidR="004B0801" w:rsidRPr="009606C7">
        <w:rPr>
          <w:rFonts w:ascii="Arial" w:hAnsi="Arial" w:cs="Arial"/>
          <w:sz w:val="24"/>
          <w:szCs w:val="24"/>
        </w:rPr>
        <w:t xml:space="preserve">ithalattaki azalma ile </w:t>
      </w:r>
      <w:r w:rsidR="00F9413E">
        <w:rPr>
          <w:rFonts w:ascii="Arial" w:hAnsi="Arial" w:cs="Arial"/>
          <w:sz w:val="24"/>
          <w:szCs w:val="24"/>
        </w:rPr>
        <w:t xml:space="preserve">net </w:t>
      </w:r>
      <w:r w:rsidR="004B0801" w:rsidRPr="009606C7">
        <w:rPr>
          <w:rFonts w:ascii="Arial" w:hAnsi="Arial" w:cs="Arial"/>
          <w:sz w:val="24"/>
          <w:szCs w:val="24"/>
        </w:rPr>
        <w:t xml:space="preserve">altın </w:t>
      </w:r>
      <w:r w:rsidR="003F2929" w:rsidRPr="009606C7">
        <w:rPr>
          <w:rFonts w:ascii="Arial" w:hAnsi="Arial" w:cs="Arial"/>
          <w:sz w:val="24"/>
          <w:szCs w:val="24"/>
        </w:rPr>
        <w:t>ihracat</w:t>
      </w:r>
      <w:r w:rsidR="00F9413E">
        <w:rPr>
          <w:rFonts w:ascii="Arial" w:hAnsi="Arial" w:cs="Arial"/>
          <w:sz w:val="24"/>
          <w:szCs w:val="24"/>
        </w:rPr>
        <w:t>ında</w:t>
      </w:r>
      <w:r w:rsidR="003F2929" w:rsidRPr="009606C7">
        <w:rPr>
          <w:rFonts w:ascii="Arial" w:hAnsi="Arial" w:cs="Arial"/>
          <w:sz w:val="24"/>
          <w:szCs w:val="24"/>
        </w:rPr>
        <w:t>ki artış</w:t>
      </w:r>
      <w:r w:rsidR="004B0801" w:rsidRPr="009606C7">
        <w:rPr>
          <w:rFonts w:ascii="Arial" w:hAnsi="Arial" w:cs="Arial"/>
          <w:sz w:val="24"/>
          <w:szCs w:val="24"/>
        </w:rPr>
        <w:t xml:space="preserve"> belirleyici olmuştur. Böylece </w:t>
      </w:r>
      <w:r w:rsidRPr="009606C7">
        <w:rPr>
          <w:rFonts w:ascii="Arial" w:hAnsi="Arial" w:cs="Arial"/>
          <w:sz w:val="24"/>
          <w:szCs w:val="24"/>
        </w:rPr>
        <w:t>2011 yılında 75,1 milyar dolar olarak gerçekleşen cari işlemler açığı, 2012 yılında 47,8 milyar dolara gerilemiştir.</w:t>
      </w:r>
      <w:r w:rsidR="004B0801" w:rsidRPr="009606C7">
        <w:rPr>
          <w:rFonts w:ascii="Arial" w:hAnsi="Arial" w:cs="Arial"/>
          <w:sz w:val="24"/>
          <w:szCs w:val="24"/>
        </w:rPr>
        <w:t xml:space="preserve"> </w:t>
      </w:r>
      <w:r w:rsidRPr="009606C7">
        <w:rPr>
          <w:rFonts w:ascii="Arial" w:hAnsi="Arial" w:cs="Arial"/>
          <w:sz w:val="24"/>
          <w:szCs w:val="24"/>
        </w:rPr>
        <w:t xml:space="preserve"> </w:t>
      </w:r>
    </w:p>
    <w:p w:rsidR="00861C49" w:rsidRPr="00B732B2" w:rsidRDefault="00861C49"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8E2B04">
        <w:rPr>
          <w:rFonts w:ascii="Arial" w:hAnsi="Arial" w:cs="Arial"/>
          <w:sz w:val="24"/>
          <w:szCs w:val="24"/>
        </w:rPr>
        <w:t>2013 yılında altın</w:t>
      </w:r>
      <w:r w:rsidR="00B732B2">
        <w:rPr>
          <w:rFonts w:ascii="Arial" w:hAnsi="Arial" w:cs="Arial"/>
          <w:sz w:val="24"/>
          <w:szCs w:val="24"/>
        </w:rPr>
        <w:t xml:space="preserve"> ve enerji hariç dış ticaret açığının </w:t>
      </w:r>
      <w:proofErr w:type="gramStart"/>
      <w:r w:rsidR="00B732B2">
        <w:rPr>
          <w:rFonts w:ascii="Arial" w:hAnsi="Arial" w:cs="Arial"/>
          <w:sz w:val="24"/>
          <w:szCs w:val="24"/>
        </w:rPr>
        <w:t>nominal</w:t>
      </w:r>
      <w:proofErr w:type="gramEnd"/>
      <w:r w:rsidR="00B732B2">
        <w:rPr>
          <w:rFonts w:ascii="Arial" w:hAnsi="Arial" w:cs="Arial"/>
          <w:sz w:val="24"/>
          <w:szCs w:val="24"/>
        </w:rPr>
        <w:t xml:space="preserve"> olarak 2012 yılı seviyesinde kalması </w:t>
      </w:r>
      <w:r w:rsidR="00F9413E">
        <w:rPr>
          <w:rFonts w:ascii="Arial" w:hAnsi="Arial" w:cs="Arial"/>
          <w:sz w:val="24"/>
          <w:szCs w:val="24"/>
        </w:rPr>
        <w:t>öngörülmektedir.</w:t>
      </w:r>
      <w:r w:rsidR="00B732B2">
        <w:rPr>
          <w:rFonts w:ascii="Arial" w:hAnsi="Arial" w:cs="Arial"/>
          <w:sz w:val="24"/>
          <w:szCs w:val="24"/>
        </w:rPr>
        <w:t xml:space="preserve"> Buna rağmen net altın ticaretindeki bozulma nedeniyle 2013 yılı </w:t>
      </w:r>
      <w:r w:rsidR="00280E34" w:rsidRPr="008E2B04">
        <w:rPr>
          <w:rFonts w:ascii="Arial" w:hAnsi="Arial" w:cs="Arial"/>
          <w:sz w:val="24"/>
          <w:szCs w:val="24"/>
        </w:rPr>
        <w:t xml:space="preserve">dış ticaret açığının 98 milyar dolara ulaşması beklenmektedir. </w:t>
      </w:r>
      <w:r w:rsidR="00972FD7" w:rsidRPr="00B732B2">
        <w:rPr>
          <w:rFonts w:ascii="Arial" w:hAnsi="Arial" w:cs="Arial"/>
          <w:sz w:val="24"/>
          <w:szCs w:val="24"/>
        </w:rPr>
        <w:t xml:space="preserve">Dış ticaret açığındaki bu gelişmeler neticesinde </w:t>
      </w:r>
      <w:r w:rsidRPr="00B732B2">
        <w:rPr>
          <w:rFonts w:ascii="Arial" w:hAnsi="Arial" w:cs="Arial"/>
          <w:sz w:val="24"/>
          <w:szCs w:val="24"/>
        </w:rPr>
        <w:t>2012 yılında yüzde 6,1</w:t>
      </w:r>
      <w:r w:rsidR="00972FD7" w:rsidRPr="00B732B2">
        <w:rPr>
          <w:rFonts w:ascii="Arial" w:hAnsi="Arial" w:cs="Arial"/>
          <w:sz w:val="24"/>
          <w:szCs w:val="24"/>
        </w:rPr>
        <w:t>’e gerileyen</w:t>
      </w:r>
      <w:r w:rsidRPr="00B732B2">
        <w:rPr>
          <w:rFonts w:ascii="Arial" w:hAnsi="Arial" w:cs="Arial"/>
          <w:sz w:val="24"/>
          <w:szCs w:val="24"/>
        </w:rPr>
        <w:t xml:space="preserve"> cari işlemler açığının </w:t>
      </w:r>
      <w:proofErr w:type="spellStart"/>
      <w:r w:rsidRPr="00B732B2">
        <w:rPr>
          <w:rFonts w:ascii="Arial" w:hAnsi="Arial" w:cs="Arial"/>
          <w:sz w:val="24"/>
          <w:szCs w:val="24"/>
        </w:rPr>
        <w:t>GSYH’ya</w:t>
      </w:r>
      <w:proofErr w:type="spellEnd"/>
      <w:r w:rsidRPr="00B732B2">
        <w:rPr>
          <w:rFonts w:ascii="Arial" w:hAnsi="Arial" w:cs="Arial"/>
          <w:sz w:val="24"/>
          <w:szCs w:val="24"/>
        </w:rPr>
        <w:t xml:space="preserve"> oranının, 2013 yılı sonunda yüzde 7,</w:t>
      </w:r>
      <w:r w:rsidR="00D564EB" w:rsidRPr="00B732B2">
        <w:rPr>
          <w:rFonts w:ascii="Arial" w:hAnsi="Arial" w:cs="Arial"/>
          <w:sz w:val="24"/>
          <w:szCs w:val="24"/>
        </w:rPr>
        <w:t>1</w:t>
      </w:r>
      <w:r w:rsidR="00972FD7" w:rsidRPr="00B732B2">
        <w:rPr>
          <w:rFonts w:ascii="Arial" w:hAnsi="Arial" w:cs="Arial"/>
          <w:sz w:val="24"/>
          <w:szCs w:val="24"/>
        </w:rPr>
        <w:t>’e yükselmesi beklen</w:t>
      </w:r>
      <w:r w:rsidRPr="00B732B2">
        <w:rPr>
          <w:rFonts w:ascii="Arial" w:hAnsi="Arial" w:cs="Arial"/>
          <w:sz w:val="24"/>
          <w:szCs w:val="24"/>
        </w:rPr>
        <w:t xml:space="preserve">mektedir. </w:t>
      </w:r>
      <w:r w:rsidR="00D3384D" w:rsidRPr="00B732B2">
        <w:rPr>
          <w:rFonts w:ascii="Arial" w:hAnsi="Arial" w:cs="Arial"/>
          <w:sz w:val="24"/>
          <w:szCs w:val="24"/>
        </w:rPr>
        <w:t xml:space="preserve">Altın ticareti hariç tutulduğunda </w:t>
      </w:r>
      <w:r w:rsidR="00972FD7" w:rsidRPr="00B732B2">
        <w:rPr>
          <w:rFonts w:ascii="Arial" w:hAnsi="Arial" w:cs="Arial"/>
          <w:sz w:val="24"/>
          <w:szCs w:val="24"/>
        </w:rPr>
        <w:t xml:space="preserve">ise </w:t>
      </w:r>
      <w:r w:rsidR="00322410" w:rsidRPr="00B732B2">
        <w:rPr>
          <w:rFonts w:ascii="Arial" w:hAnsi="Arial" w:cs="Arial"/>
          <w:sz w:val="24"/>
          <w:szCs w:val="24"/>
        </w:rPr>
        <w:t xml:space="preserve">cari açığın </w:t>
      </w:r>
      <w:proofErr w:type="spellStart"/>
      <w:r w:rsidR="00322410" w:rsidRPr="00B732B2">
        <w:rPr>
          <w:rFonts w:ascii="Arial" w:hAnsi="Arial" w:cs="Arial"/>
          <w:sz w:val="24"/>
          <w:szCs w:val="24"/>
        </w:rPr>
        <w:t>GSYH’ya</w:t>
      </w:r>
      <w:proofErr w:type="spellEnd"/>
      <w:r w:rsidR="00322410" w:rsidRPr="00B732B2">
        <w:rPr>
          <w:rFonts w:ascii="Arial" w:hAnsi="Arial" w:cs="Arial"/>
          <w:sz w:val="24"/>
          <w:szCs w:val="24"/>
        </w:rPr>
        <w:t xml:space="preserve"> oranının ise yüzde 6,8’den</w:t>
      </w:r>
      <w:r w:rsidR="00D3384D" w:rsidRPr="00B732B2">
        <w:rPr>
          <w:rFonts w:ascii="Arial" w:hAnsi="Arial" w:cs="Arial"/>
          <w:sz w:val="24"/>
          <w:szCs w:val="24"/>
        </w:rPr>
        <w:t xml:space="preserve"> yüzde 6,1’e </w:t>
      </w:r>
      <w:r w:rsidR="00972FD7" w:rsidRPr="00B732B2">
        <w:rPr>
          <w:rFonts w:ascii="Arial" w:hAnsi="Arial" w:cs="Arial"/>
          <w:sz w:val="24"/>
          <w:szCs w:val="24"/>
        </w:rPr>
        <w:t>düş</w:t>
      </w:r>
      <w:r w:rsidR="00D3384D" w:rsidRPr="00B732B2">
        <w:rPr>
          <w:rFonts w:ascii="Arial" w:hAnsi="Arial" w:cs="Arial"/>
          <w:sz w:val="24"/>
          <w:szCs w:val="24"/>
        </w:rPr>
        <w:t xml:space="preserve">eceği tahmin edilmektedir. </w:t>
      </w:r>
      <w:r w:rsidRPr="00B732B2">
        <w:rPr>
          <w:rFonts w:ascii="Arial" w:hAnsi="Arial" w:cs="Arial"/>
          <w:sz w:val="24"/>
          <w:szCs w:val="24"/>
        </w:rPr>
        <w:t xml:space="preserve"> </w:t>
      </w:r>
    </w:p>
    <w:p w:rsidR="00DE75FC" w:rsidRDefault="00C01B11"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1F6D57">
        <w:rPr>
          <w:rFonts w:ascii="Arial" w:hAnsi="Arial" w:cs="Arial"/>
          <w:sz w:val="24"/>
          <w:szCs w:val="24"/>
        </w:rPr>
        <w:t xml:space="preserve">Avro Bölgesinin 2013 yılı ikinci çeyreğinde </w:t>
      </w:r>
      <w:r w:rsidR="0000005D">
        <w:rPr>
          <w:rFonts w:ascii="Arial" w:hAnsi="Arial" w:cs="Arial"/>
          <w:sz w:val="24"/>
          <w:szCs w:val="24"/>
        </w:rPr>
        <w:t>durgunluktan</w:t>
      </w:r>
      <w:r w:rsidRPr="001F6D57">
        <w:rPr>
          <w:rFonts w:ascii="Arial" w:hAnsi="Arial" w:cs="Arial"/>
          <w:sz w:val="24"/>
          <w:szCs w:val="24"/>
        </w:rPr>
        <w:t xml:space="preserve"> çıkarak pozitif büyüme gerçekleştirmesi ülkemize yönelik dış talep bakımından olumlu değerlendirilmektedir. AB’deki ılımlı toparlanmanın devam etmesi dış ticaretimize olumlu katkı sağlayacağı gibi, AB’de beklenen büyümenin gerçekleşmemesi ihracatımız üzerinde olumsuz etki yaratabilecektir. Bu çerçevede küresel krizin Türkiye’nin ihracat performansı üzerindeki etkilerinin hafifletilmesinde büyük rol oynayan pazar çeşitlendirmesi politikasına devam edilmesi önemini korumaktadır.</w:t>
      </w:r>
    </w:p>
    <w:p w:rsidR="00C01B11" w:rsidRPr="001F6D57" w:rsidRDefault="00DE75FC"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D</w:t>
      </w:r>
      <w:r w:rsidR="00C01B11" w:rsidRPr="001F6D57">
        <w:rPr>
          <w:rFonts w:ascii="Arial" w:hAnsi="Arial" w:cs="Arial"/>
          <w:sz w:val="24"/>
          <w:szCs w:val="24"/>
        </w:rPr>
        <w:t xml:space="preserve">ünya ticaret hacminde en büyük paya sahip olan Avrupa Birliği ve ABD arasında gündeme gelen Transatlantik Ticaret ve Yatırım Ortaklığı </w:t>
      </w:r>
      <w:r w:rsidR="00CF7873">
        <w:rPr>
          <w:rFonts w:ascii="Arial" w:hAnsi="Arial" w:cs="Arial"/>
          <w:sz w:val="24"/>
          <w:szCs w:val="24"/>
        </w:rPr>
        <w:t>a</w:t>
      </w:r>
      <w:r w:rsidR="00C01B11" w:rsidRPr="001F6D57">
        <w:rPr>
          <w:rFonts w:ascii="Arial" w:hAnsi="Arial" w:cs="Arial"/>
          <w:sz w:val="24"/>
          <w:szCs w:val="24"/>
        </w:rPr>
        <w:t xml:space="preserve">nlaşmasının ülkemiz dış ticaretini olumlu yönde etkilemesi yönünde çalışmalara hız verilmesi önemli bir gündem maddesi haline gelmiştir.  </w:t>
      </w:r>
    </w:p>
    <w:p w:rsidR="00DE75FC" w:rsidRDefault="00DE75FC"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C</w:t>
      </w:r>
      <w:r w:rsidRPr="00B732B2">
        <w:rPr>
          <w:rFonts w:ascii="Arial" w:hAnsi="Arial" w:cs="Arial"/>
          <w:sz w:val="24"/>
          <w:szCs w:val="24"/>
        </w:rPr>
        <w:t xml:space="preserve">ari açığın kısa vadede azaltılmasının yanı sıra orta ve uzun vadede kalıcı bir şekilde sürdürülebilir düzeye indirilmesine </w:t>
      </w:r>
      <w:r w:rsidRPr="004F0B9D">
        <w:rPr>
          <w:rFonts w:ascii="Arial" w:hAnsi="Arial" w:cs="Arial"/>
          <w:sz w:val="24"/>
          <w:szCs w:val="24"/>
        </w:rPr>
        <w:t>duyulan</w:t>
      </w:r>
      <w:r w:rsidRPr="00B732B2">
        <w:rPr>
          <w:rFonts w:ascii="Arial" w:hAnsi="Arial" w:cs="Arial"/>
          <w:sz w:val="24"/>
          <w:szCs w:val="24"/>
        </w:rPr>
        <w:t xml:space="preserve"> ihti</w:t>
      </w:r>
      <w:r w:rsidRPr="00FA5F60">
        <w:rPr>
          <w:rFonts w:ascii="Arial" w:hAnsi="Arial" w:cs="Arial"/>
          <w:sz w:val="24"/>
          <w:szCs w:val="24"/>
        </w:rPr>
        <w:t>yaç devam etmektedir. Buna yönelik olarak, önümüzdeki dönem için ithalata olan bağımlılığın azaltılması ve yüksek katma değerli ürünlerin ihracatının artırılması yoluyla dış ticaret açığını azaltıcı</w:t>
      </w:r>
      <w:r>
        <w:rPr>
          <w:rFonts w:ascii="Arial" w:hAnsi="Arial" w:cs="Arial"/>
          <w:sz w:val="24"/>
          <w:szCs w:val="24"/>
        </w:rPr>
        <w:t xml:space="preserve"> ve finansman</w:t>
      </w:r>
      <w:r w:rsidRPr="00FA5F60">
        <w:rPr>
          <w:rFonts w:ascii="Arial" w:hAnsi="Arial" w:cs="Arial"/>
          <w:sz w:val="24"/>
          <w:szCs w:val="24"/>
        </w:rPr>
        <w:t xml:space="preserve"> kalitesini iyileştirici, ayrıca yurt</w:t>
      </w:r>
      <w:r w:rsidR="00994C34">
        <w:rPr>
          <w:rFonts w:ascii="Arial" w:hAnsi="Arial" w:cs="Arial"/>
          <w:sz w:val="24"/>
          <w:szCs w:val="24"/>
        </w:rPr>
        <w:t xml:space="preserve"> </w:t>
      </w:r>
      <w:r w:rsidRPr="00FA5F60">
        <w:rPr>
          <w:rFonts w:ascii="Arial" w:hAnsi="Arial" w:cs="Arial"/>
          <w:sz w:val="24"/>
          <w:szCs w:val="24"/>
        </w:rPr>
        <w:t>içi tasarrufları artırıcı bir politika çerçevesi oluşturulmuştur.</w:t>
      </w:r>
    </w:p>
    <w:p w:rsidR="005D0496" w:rsidRPr="00653263" w:rsidRDefault="00781D5E"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4905A5">
        <w:rPr>
          <w:rFonts w:ascii="Arial" w:hAnsi="Arial" w:cs="Arial"/>
          <w:sz w:val="24"/>
          <w:szCs w:val="24"/>
        </w:rPr>
        <w:t>Yurt</w:t>
      </w:r>
      <w:r w:rsidR="00994C34">
        <w:rPr>
          <w:rFonts w:ascii="Arial" w:hAnsi="Arial" w:cs="Arial"/>
          <w:sz w:val="24"/>
          <w:szCs w:val="24"/>
        </w:rPr>
        <w:t xml:space="preserve"> </w:t>
      </w:r>
      <w:r w:rsidRPr="004905A5">
        <w:rPr>
          <w:rFonts w:ascii="Arial" w:hAnsi="Arial" w:cs="Arial"/>
          <w:sz w:val="24"/>
          <w:szCs w:val="24"/>
        </w:rPr>
        <w:t>içi tasarruf oranlarının artırılmasına yönelik olarak</w:t>
      </w:r>
      <w:r w:rsidR="00FD0DBE" w:rsidRPr="004905A5">
        <w:rPr>
          <w:rFonts w:ascii="Arial" w:hAnsi="Arial" w:cs="Arial"/>
          <w:sz w:val="24"/>
          <w:szCs w:val="24"/>
        </w:rPr>
        <w:t>;</w:t>
      </w:r>
      <w:r w:rsidRPr="004905A5">
        <w:rPr>
          <w:rFonts w:ascii="Arial" w:hAnsi="Arial" w:cs="Arial"/>
          <w:sz w:val="24"/>
          <w:szCs w:val="24"/>
        </w:rPr>
        <w:t xml:space="preserve"> </w:t>
      </w:r>
      <w:r w:rsidR="00D6721E" w:rsidRPr="004905A5">
        <w:rPr>
          <w:rFonts w:ascii="Arial" w:hAnsi="Arial" w:cs="Arial"/>
          <w:sz w:val="24"/>
          <w:szCs w:val="24"/>
        </w:rPr>
        <w:t>bireysel emeklilik sisteminde</w:t>
      </w:r>
      <w:r w:rsidRPr="004905A5">
        <w:rPr>
          <w:rFonts w:ascii="Arial" w:hAnsi="Arial" w:cs="Arial"/>
          <w:sz w:val="24"/>
          <w:szCs w:val="24"/>
        </w:rPr>
        <w:t xml:space="preserve"> </w:t>
      </w:r>
      <w:r w:rsidR="00F5088D" w:rsidRPr="004905A5">
        <w:rPr>
          <w:rFonts w:ascii="Arial" w:hAnsi="Arial" w:cs="Arial"/>
          <w:sz w:val="24"/>
          <w:szCs w:val="24"/>
        </w:rPr>
        <w:t>yapılan değişiklikle tüm katılımcıların teşvikten faydalanabileceği</w:t>
      </w:r>
      <w:r w:rsidRPr="004905A5">
        <w:rPr>
          <w:rFonts w:ascii="Arial" w:hAnsi="Arial" w:cs="Arial"/>
          <w:sz w:val="24"/>
          <w:szCs w:val="24"/>
        </w:rPr>
        <w:t xml:space="preserve"> </w:t>
      </w:r>
      <w:r w:rsidR="00F5088D" w:rsidRPr="004905A5">
        <w:rPr>
          <w:rFonts w:ascii="Arial" w:hAnsi="Arial" w:cs="Arial"/>
          <w:sz w:val="24"/>
          <w:szCs w:val="24"/>
        </w:rPr>
        <w:t>bir yapı</w:t>
      </w:r>
      <w:r w:rsidR="00CF7873">
        <w:rPr>
          <w:rFonts w:ascii="Arial" w:hAnsi="Arial" w:cs="Arial"/>
          <w:sz w:val="24"/>
          <w:szCs w:val="24"/>
        </w:rPr>
        <w:t xml:space="preserve"> </w:t>
      </w:r>
      <w:r w:rsidR="00FD0DBE" w:rsidRPr="004905A5">
        <w:rPr>
          <w:rFonts w:ascii="Arial" w:hAnsi="Arial" w:cs="Arial"/>
          <w:sz w:val="24"/>
          <w:szCs w:val="24"/>
        </w:rPr>
        <w:t>oluşturulmuş,</w:t>
      </w:r>
      <w:r w:rsidR="00F5088D" w:rsidRPr="004905A5">
        <w:rPr>
          <w:rFonts w:ascii="Arial" w:hAnsi="Arial" w:cs="Arial"/>
          <w:sz w:val="24"/>
          <w:szCs w:val="24"/>
        </w:rPr>
        <w:t xml:space="preserve"> </w:t>
      </w:r>
      <w:r w:rsidR="00FD0DBE" w:rsidRPr="004905A5">
        <w:rPr>
          <w:rFonts w:ascii="Arial" w:hAnsi="Arial" w:cs="Arial"/>
          <w:sz w:val="24"/>
          <w:szCs w:val="24"/>
        </w:rPr>
        <w:t>y</w:t>
      </w:r>
      <w:r w:rsidR="00F5088D" w:rsidRPr="004905A5">
        <w:rPr>
          <w:rFonts w:ascii="Arial" w:hAnsi="Arial" w:cs="Arial"/>
          <w:sz w:val="24"/>
          <w:szCs w:val="24"/>
        </w:rPr>
        <w:t>eni Sermaye Piyasası Kanunuyla</w:t>
      </w:r>
      <w:r w:rsidRPr="004905A5">
        <w:rPr>
          <w:rFonts w:ascii="Arial" w:hAnsi="Arial" w:cs="Arial"/>
          <w:sz w:val="24"/>
          <w:szCs w:val="24"/>
        </w:rPr>
        <w:t xml:space="preserve"> </w:t>
      </w:r>
      <w:r w:rsidR="00F5088D" w:rsidRPr="004905A5">
        <w:rPr>
          <w:rFonts w:ascii="Arial" w:hAnsi="Arial" w:cs="Arial"/>
          <w:sz w:val="24"/>
          <w:szCs w:val="24"/>
        </w:rPr>
        <w:t xml:space="preserve">şirket </w:t>
      </w:r>
      <w:r w:rsidR="00FD0DBE" w:rsidRPr="004905A5">
        <w:rPr>
          <w:rFonts w:ascii="Arial" w:hAnsi="Arial" w:cs="Arial"/>
          <w:sz w:val="24"/>
          <w:szCs w:val="24"/>
        </w:rPr>
        <w:t xml:space="preserve">ve </w:t>
      </w:r>
      <w:proofErr w:type="spellStart"/>
      <w:r w:rsidR="00FD0DBE" w:rsidRPr="004905A5">
        <w:rPr>
          <w:rFonts w:ascii="Arial" w:hAnsi="Arial" w:cs="Arial"/>
          <w:sz w:val="24"/>
          <w:szCs w:val="24"/>
        </w:rPr>
        <w:t>hanehalkı</w:t>
      </w:r>
      <w:proofErr w:type="spellEnd"/>
      <w:r w:rsidR="00FD0DBE" w:rsidRPr="004905A5">
        <w:rPr>
          <w:rFonts w:ascii="Arial" w:hAnsi="Arial" w:cs="Arial"/>
          <w:sz w:val="24"/>
          <w:szCs w:val="24"/>
        </w:rPr>
        <w:t xml:space="preserve"> </w:t>
      </w:r>
      <w:r w:rsidRPr="004905A5">
        <w:rPr>
          <w:rFonts w:ascii="Arial" w:hAnsi="Arial" w:cs="Arial"/>
          <w:sz w:val="24"/>
          <w:szCs w:val="24"/>
        </w:rPr>
        <w:t xml:space="preserve">tasarruflarının </w:t>
      </w:r>
      <w:r w:rsidR="00FD0DBE" w:rsidRPr="004905A5">
        <w:rPr>
          <w:rFonts w:ascii="Arial" w:hAnsi="Arial" w:cs="Arial"/>
          <w:sz w:val="24"/>
          <w:szCs w:val="24"/>
        </w:rPr>
        <w:t xml:space="preserve">korunması ve </w:t>
      </w:r>
      <w:r w:rsidRPr="004905A5">
        <w:rPr>
          <w:rFonts w:ascii="Arial" w:hAnsi="Arial" w:cs="Arial"/>
          <w:sz w:val="24"/>
          <w:szCs w:val="24"/>
        </w:rPr>
        <w:t>artır</w:t>
      </w:r>
      <w:r w:rsidR="00F5088D" w:rsidRPr="004905A5">
        <w:rPr>
          <w:rFonts w:ascii="Arial" w:hAnsi="Arial" w:cs="Arial"/>
          <w:sz w:val="24"/>
          <w:szCs w:val="24"/>
        </w:rPr>
        <w:t xml:space="preserve">ılması </w:t>
      </w:r>
      <w:r w:rsidR="00FD0DBE" w:rsidRPr="004905A5">
        <w:rPr>
          <w:rFonts w:ascii="Arial" w:hAnsi="Arial" w:cs="Arial"/>
          <w:sz w:val="24"/>
          <w:szCs w:val="24"/>
        </w:rPr>
        <w:t>amaçlanmış ve</w:t>
      </w:r>
      <w:r w:rsidR="00F5088D" w:rsidRPr="004905A5">
        <w:rPr>
          <w:rFonts w:ascii="Arial" w:hAnsi="Arial" w:cs="Arial"/>
          <w:sz w:val="24"/>
          <w:szCs w:val="24"/>
        </w:rPr>
        <w:t xml:space="preserve"> ülke düzeyinde </w:t>
      </w:r>
      <w:r w:rsidRPr="004905A5">
        <w:rPr>
          <w:rFonts w:ascii="Arial" w:hAnsi="Arial" w:cs="Arial"/>
          <w:sz w:val="24"/>
          <w:szCs w:val="24"/>
        </w:rPr>
        <w:t>israfı önleme</w:t>
      </w:r>
      <w:r w:rsidR="00F5088D" w:rsidRPr="004905A5">
        <w:rPr>
          <w:rFonts w:ascii="Arial" w:hAnsi="Arial" w:cs="Arial"/>
          <w:sz w:val="24"/>
          <w:szCs w:val="24"/>
        </w:rPr>
        <w:t xml:space="preserve"> ve </w:t>
      </w:r>
      <w:r w:rsidRPr="004905A5">
        <w:rPr>
          <w:rFonts w:ascii="Arial" w:hAnsi="Arial" w:cs="Arial"/>
          <w:sz w:val="24"/>
          <w:szCs w:val="24"/>
        </w:rPr>
        <w:t>tasarruf bilincini</w:t>
      </w:r>
      <w:r w:rsidR="00F5088D" w:rsidRPr="004905A5">
        <w:rPr>
          <w:rFonts w:ascii="Arial" w:hAnsi="Arial" w:cs="Arial"/>
          <w:sz w:val="24"/>
          <w:szCs w:val="24"/>
        </w:rPr>
        <w:t>n</w:t>
      </w:r>
      <w:r w:rsidR="00FD0DBE" w:rsidRPr="004905A5">
        <w:rPr>
          <w:rFonts w:ascii="Arial" w:hAnsi="Arial" w:cs="Arial"/>
          <w:sz w:val="24"/>
          <w:szCs w:val="24"/>
        </w:rPr>
        <w:t xml:space="preserve"> artırılmasına yönelik</w:t>
      </w:r>
      <w:r w:rsidRPr="004905A5">
        <w:rPr>
          <w:rFonts w:ascii="Arial" w:hAnsi="Arial" w:cs="Arial"/>
          <w:sz w:val="24"/>
          <w:szCs w:val="24"/>
        </w:rPr>
        <w:t xml:space="preserve"> </w:t>
      </w:r>
      <w:r w:rsidR="00F5088D" w:rsidRPr="004905A5">
        <w:rPr>
          <w:rFonts w:ascii="Arial" w:hAnsi="Arial" w:cs="Arial"/>
          <w:sz w:val="24"/>
          <w:szCs w:val="24"/>
        </w:rPr>
        <w:t>farkındalık kampanyaları düzenlenmiştir</w:t>
      </w:r>
      <w:r w:rsidR="005D0496" w:rsidRPr="004905A5">
        <w:rPr>
          <w:rFonts w:ascii="Arial" w:hAnsi="Arial" w:cs="Arial"/>
          <w:sz w:val="24"/>
          <w:szCs w:val="24"/>
        </w:rPr>
        <w:t xml:space="preserve">. </w:t>
      </w:r>
      <w:r w:rsidR="004F0B9D">
        <w:rPr>
          <w:rFonts w:ascii="Arial" w:hAnsi="Arial" w:cs="Arial"/>
          <w:sz w:val="24"/>
          <w:szCs w:val="24"/>
        </w:rPr>
        <w:t>27</w:t>
      </w:r>
      <w:r w:rsidR="005D0496" w:rsidRPr="004905A5">
        <w:rPr>
          <w:rFonts w:ascii="Arial" w:hAnsi="Arial" w:cs="Arial"/>
          <w:sz w:val="24"/>
          <w:szCs w:val="24"/>
        </w:rPr>
        <w:t xml:space="preserve"> Eylül 2013 tarihi itibarıyla bireysel emeklilik si</w:t>
      </w:r>
      <w:r w:rsidR="00CF7873">
        <w:rPr>
          <w:rFonts w:ascii="Arial" w:hAnsi="Arial" w:cs="Arial"/>
          <w:sz w:val="24"/>
          <w:szCs w:val="24"/>
        </w:rPr>
        <w:t>s</w:t>
      </w:r>
      <w:r w:rsidR="005D0496" w:rsidRPr="004905A5">
        <w:rPr>
          <w:rFonts w:ascii="Arial" w:hAnsi="Arial" w:cs="Arial"/>
          <w:sz w:val="24"/>
          <w:szCs w:val="24"/>
        </w:rPr>
        <w:t>temine, 2012 yılı sonuna göre 7</w:t>
      </w:r>
      <w:r w:rsidR="004F0B9D">
        <w:rPr>
          <w:rFonts w:ascii="Arial" w:hAnsi="Arial" w:cs="Arial"/>
          <w:sz w:val="24"/>
          <w:szCs w:val="24"/>
        </w:rPr>
        <w:t>4</w:t>
      </w:r>
      <w:r w:rsidR="005D0496" w:rsidRPr="004905A5">
        <w:rPr>
          <w:rFonts w:ascii="Arial" w:hAnsi="Arial" w:cs="Arial"/>
          <w:sz w:val="24"/>
          <w:szCs w:val="24"/>
        </w:rPr>
        <w:t>0 bin kişiyi aşan yeni katılım olmuş, aynı dönemde fon büyüklüğü ise 2</w:t>
      </w:r>
      <w:r w:rsidR="004F0B9D">
        <w:rPr>
          <w:rFonts w:ascii="Arial" w:hAnsi="Arial" w:cs="Arial"/>
          <w:sz w:val="24"/>
          <w:szCs w:val="24"/>
        </w:rPr>
        <w:t>4,3</w:t>
      </w:r>
      <w:r w:rsidR="005D0496" w:rsidRPr="004905A5">
        <w:rPr>
          <w:rFonts w:ascii="Arial" w:hAnsi="Arial" w:cs="Arial"/>
          <w:sz w:val="24"/>
          <w:szCs w:val="24"/>
        </w:rPr>
        <w:t xml:space="preserve"> milyar TL’yi aşmıştır. Bireysel emeklilik sisteminin, 2013 yılındaki ivmesini sürdürmesiyle, orta vadede yurt</w:t>
      </w:r>
      <w:r w:rsidR="00994C34">
        <w:rPr>
          <w:rFonts w:ascii="Arial" w:hAnsi="Arial" w:cs="Arial"/>
          <w:sz w:val="24"/>
          <w:szCs w:val="24"/>
        </w:rPr>
        <w:t xml:space="preserve"> </w:t>
      </w:r>
      <w:r w:rsidR="005D0496" w:rsidRPr="004905A5">
        <w:rPr>
          <w:rFonts w:ascii="Arial" w:hAnsi="Arial" w:cs="Arial"/>
          <w:sz w:val="24"/>
          <w:szCs w:val="24"/>
        </w:rPr>
        <w:t>içi tasarrufların artırılmasında önemli bir rol üstleneceği öngörülmektedir</w:t>
      </w:r>
      <w:r w:rsidR="005D0496" w:rsidRPr="00847CFA">
        <w:rPr>
          <w:rFonts w:ascii="Arial" w:hAnsi="Arial" w:cs="Arial"/>
          <w:sz w:val="24"/>
          <w:szCs w:val="24"/>
        </w:rPr>
        <w:t>.</w:t>
      </w:r>
    </w:p>
    <w:p w:rsidR="00CF120A" w:rsidRPr="00B63EBA" w:rsidRDefault="00E62FAF"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B63EBA">
        <w:rPr>
          <w:rFonts w:ascii="Arial" w:hAnsi="Arial" w:cs="Arial"/>
          <w:sz w:val="24"/>
          <w:szCs w:val="24"/>
        </w:rPr>
        <w:t>Özel tüketimdeki hızlı artış nedeniyle</w:t>
      </w:r>
      <w:r w:rsidR="00301ADA">
        <w:rPr>
          <w:rFonts w:ascii="Arial" w:hAnsi="Arial" w:cs="Arial"/>
          <w:sz w:val="24"/>
          <w:szCs w:val="24"/>
        </w:rPr>
        <w:t xml:space="preserve">, </w:t>
      </w:r>
      <w:proofErr w:type="spellStart"/>
      <w:r w:rsidR="00983971">
        <w:rPr>
          <w:rFonts w:ascii="Arial" w:hAnsi="Arial" w:cs="Arial"/>
          <w:sz w:val="24"/>
          <w:szCs w:val="24"/>
        </w:rPr>
        <w:t>GSYH’ya</w:t>
      </w:r>
      <w:proofErr w:type="spellEnd"/>
      <w:r w:rsidR="00983971">
        <w:rPr>
          <w:rFonts w:ascii="Arial" w:hAnsi="Arial" w:cs="Arial"/>
          <w:sz w:val="24"/>
          <w:szCs w:val="24"/>
        </w:rPr>
        <w:t xml:space="preserve"> oran olarak, </w:t>
      </w:r>
      <w:r w:rsidR="00301ADA">
        <w:rPr>
          <w:rFonts w:ascii="Arial" w:hAnsi="Arial" w:cs="Arial"/>
          <w:sz w:val="24"/>
          <w:szCs w:val="24"/>
        </w:rPr>
        <w:t xml:space="preserve">özel kesim tasarruf oranının 2012 yılındaki yüzde 11,6 </w:t>
      </w:r>
      <w:r w:rsidR="0000005D">
        <w:rPr>
          <w:rFonts w:ascii="Arial" w:hAnsi="Arial" w:cs="Arial"/>
          <w:sz w:val="24"/>
          <w:szCs w:val="24"/>
        </w:rPr>
        <w:t>seviyesinden,</w:t>
      </w:r>
      <w:r w:rsidR="00301ADA">
        <w:rPr>
          <w:rFonts w:ascii="Arial" w:hAnsi="Arial" w:cs="Arial"/>
          <w:sz w:val="24"/>
          <w:szCs w:val="24"/>
        </w:rPr>
        <w:t xml:space="preserve"> </w:t>
      </w:r>
      <w:r w:rsidR="00D6721E" w:rsidRPr="00B63EBA">
        <w:rPr>
          <w:rFonts w:ascii="Arial" w:hAnsi="Arial" w:cs="Arial"/>
          <w:sz w:val="24"/>
          <w:szCs w:val="24"/>
        </w:rPr>
        <w:t>2013 yılında</w:t>
      </w:r>
      <w:r w:rsidRPr="00B63EBA">
        <w:rPr>
          <w:rFonts w:ascii="Arial" w:hAnsi="Arial" w:cs="Arial"/>
          <w:sz w:val="24"/>
          <w:szCs w:val="24"/>
        </w:rPr>
        <w:t xml:space="preserve"> </w:t>
      </w:r>
      <w:r w:rsidR="0011139F" w:rsidRPr="00B63EBA">
        <w:rPr>
          <w:rFonts w:ascii="Arial" w:hAnsi="Arial" w:cs="Arial"/>
          <w:sz w:val="24"/>
          <w:szCs w:val="24"/>
        </w:rPr>
        <w:t xml:space="preserve">yüzde </w:t>
      </w:r>
      <w:r w:rsidR="00D54F22">
        <w:rPr>
          <w:rFonts w:ascii="Arial" w:hAnsi="Arial" w:cs="Arial"/>
          <w:sz w:val="24"/>
          <w:szCs w:val="24"/>
        </w:rPr>
        <w:t>9,7</w:t>
      </w:r>
      <w:r w:rsidRPr="00B63EBA">
        <w:rPr>
          <w:rFonts w:ascii="Arial" w:hAnsi="Arial" w:cs="Arial"/>
          <w:sz w:val="24"/>
          <w:szCs w:val="24"/>
        </w:rPr>
        <w:t>’</w:t>
      </w:r>
      <w:r w:rsidR="00D54F22">
        <w:rPr>
          <w:rFonts w:ascii="Arial" w:hAnsi="Arial" w:cs="Arial"/>
          <w:sz w:val="24"/>
          <w:szCs w:val="24"/>
        </w:rPr>
        <w:t>ye</w:t>
      </w:r>
      <w:r w:rsidRPr="00B63EBA">
        <w:rPr>
          <w:rFonts w:ascii="Arial" w:hAnsi="Arial" w:cs="Arial"/>
          <w:sz w:val="24"/>
          <w:szCs w:val="24"/>
        </w:rPr>
        <w:t xml:space="preserve"> gerilemesi</w:t>
      </w:r>
      <w:r w:rsidR="0011139F" w:rsidRPr="00B63EBA">
        <w:rPr>
          <w:rFonts w:ascii="Arial" w:hAnsi="Arial" w:cs="Arial"/>
          <w:sz w:val="24"/>
          <w:szCs w:val="24"/>
        </w:rPr>
        <w:t xml:space="preserve"> beklenmektedir</w:t>
      </w:r>
      <w:r w:rsidR="00D6721E" w:rsidRPr="00B63EBA">
        <w:rPr>
          <w:rFonts w:ascii="Arial" w:hAnsi="Arial" w:cs="Arial"/>
          <w:sz w:val="24"/>
          <w:szCs w:val="24"/>
        </w:rPr>
        <w:t xml:space="preserve">. 2012 yılında </w:t>
      </w:r>
      <w:r w:rsidR="00CF120A" w:rsidRPr="00B63EBA">
        <w:rPr>
          <w:rFonts w:ascii="Arial" w:hAnsi="Arial" w:cs="Arial"/>
          <w:sz w:val="24"/>
          <w:szCs w:val="24"/>
        </w:rPr>
        <w:t xml:space="preserve">yüzde </w:t>
      </w:r>
      <w:r w:rsidR="00D54F22">
        <w:rPr>
          <w:rFonts w:ascii="Arial" w:hAnsi="Arial" w:cs="Arial"/>
          <w:sz w:val="24"/>
          <w:szCs w:val="24"/>
        </w:rPr>
        <w:t>2,9</w:t>
      </w:r>
      <w:r w:rsidR="00CF120A" w:rsidRPr="00B63EBA">
        <w:rPr>
          <w:rFonts w:ascii="Arial" w:hAnsi="Arial" w:cs="Arial"/>
          <w:sz w:val="24"/>
          <w:szCs w:val="24"/>
        </w:rPr>
        <w:t xml:space="preserve"> olarak gerçekleşen </w:t>
      </w:r>
      <w:r w:rsidR="00D6721E" w:rsidRPr="00B63EBA">
        <w:rPr>
          <w:rFonts w:ascii="Arial" w:hAnsi="Arial" w:cs="Arial"/>
          <w:sz w:val="24"/>
          <w:szCs w:val="24"/>
        </w:rPr>
        <w:t>kamu kesimi tasarruf oranı</w:t>
      </w:r>
      <w:r w:rsidR="00CF120A" w:rsidRPr="00B63EBA">
        <w:rPr>
          <w:rFonts w:ascii="Arial" w:hAnsi="Arial" w:cs="Arial"/>
          <w:sz w:val="24"/>
          <w:szCs w:val="24"/>
        </w:rPr>
        <w:t>nın</w:t>
      </w:r>
      <w:r w:rsidR="00D6721E" w:rsidRPr="00B63EBA">
        <w:rPr>
          <w:rFonts w:ascii="Arial" w:hAnsi="Arial" w:cs="Arial"/>
          <w:sz w:val="24"/>
          <w:szCs w:val="24"/>
        </w:rPr>
        <w:t xml:space="preserve"> </w:t>
      </w:r>
      <w:r w:rsidR="00301ADA">
        <w:rPr>
          <w:rFonts w:ascii="Arial" w:hAnsi="Arial" w:cs="Arial"/>
          <w:sz w:val="24"/>
          <w:szCs w:val="24"/>
        </w:rPr>
        <w:t xml:space="preserve">ise </w:t>
      </w:r>
      <w:r w:rsidR="00CF120A" w:rsidRPr="00B63EBA">
        <w:rPr>
          <w:rFonts w:ascii="Arial" w:hAnsi="Arial" w:cs="Arial"/>
          <w:sz w:val="24"/>
          <w:szCs w:val="24"/>
        </w:rPr>
        <w:t xml:space="preserve">2013 yılında </w:t>
      </w:r>
      <w:r w:rsidR="00D54F22">
        <w:rPr>
          <w:rFonts w:ascii="Arial" w:hAnsi="Arial" w:cs="Arial"/>
          <w:sz w:val="24"/>
          <w:szCs w:val="24"/>
        </w:rPr>
        <w:t xml:space="preserve">aynı seviyesini koruması </w:t>
      </w:r>
      <w:r w:rsidR="00CF120A" w:rsidRPr="00B63EBA">
        <w:rPr>
          <w:rFonts w:ascii="Arial" w:hAnsi="Arial" w:cs="Arial"/>
          <w:sz w:val="24"/>
          <w:szCs w:val="24"/>
        </w:rPr>
        <w:t xml:space="preserve">öngörülmektedir. Böylece </w:t>
      </w:r>
      <w:r w:rsidR="00D6721E" w:rsidRPr="00B63EBA">
        <w:rPr>
          <w:rFonts w:ascii="Arial" w:hAnsi="Arial" w:cs="Arial"/>
          <w:sz w:val="24"/>
          <w:szCs w:val="24"/>
        </w:rPr>
        <w:t>toplam yurt</w:t>
      </w:r>
      <w:r w:rsidR="00994C34">
        <w:rPr>
          <w:rFonts w:ascii="Arial" w:hAnsi="Arial" w:cs="Arial"/>
          <w:sz w:val="24"/>
          <w:szCs w:val="24"/>
        </w:rPr>
        <w:t xml:space="preserve"> </w:t>
      </w:r>
      <w:r w:rsidR="00D6721E" w:rsidRPr="00B63EBA">
        <w:rPr>
          <w:rFonts w:ascii="Arial" w:hAnsi="Arial" w:cs="Arial"/>
          <w:sz w:val="24"/>
          <w:szCs w:val="24"/>
        </w:rPr>
        <w:t>içi tasarruf oranı</w:t>
      </w:r>
      <w:r w:rsidR="00CF120A" w:rsidRPr="00B63EBA">
        <w:rPr>
          <w:rFonts w:ascii="Arial" w:hAnsi="Arial" w:cs="Arial"/>
          <w:sz w:val="24"/>
          <w:szCs w:val="24"/>
        </w:rPr>
        <w:t>nın bir önceki yıla göre 1,</w:t>
      </w:r>
      <w:r w:rsidR="00D54F22">
        <w:rPr>
          <w:rFonts w:ascii="Arial" w:hAnsi="Arial" w:cs="Arial"/>
          <w:sz w:val="24"/>
          <w:szCs w:val="24"/>
        </w:rPr>
        <w:t>9</w:t>
      </w:r>
      <w:r w:rsidR="00CF120A" w:rsidRPr="00B63EBA">
        <w:rPr>
          <w:rFonts w:ascii="Arial" w:hAnsi="Arial" w:cs="Arial"/>
          <w:sz w:val="24"/>
          <w:szCs w:val="24"/>
        </w:rPr>
        <w:t xml:space="preserve"> puan düşerek 2013 yılında yüzde 12,</w:t>
      </w:r>
      <w:r w:rsidR="00D54F22">
        <w:rPr>
          <w:rFonts w:ascii="Arial" w:hAnsi="Arial" w:cs="Arial"/>
          <w:sz w:val="24"/>
          <w:szCs w:val="24"/>
        </w:rPr>
        <w:t>6</w:t>
      </w:r>
      <w:r w:rsidR="00CF120A" w:rsidRPr="00B63EBA">
        <w:rPr>
          <w:rFonts w:ascii="Arial" w:hAnsi="Arial" w:cs="Arial"/>
          <w:sz w:val="24"/>
          <w:szCs w:val="24"/>
        </w:rPr>
        <w:t xml:space="preserve"> olacağı tahmin edilmektedir. </w:t>
      </w:r>
    </w:p>
    <w:p w:rsidR="00D6721E" w:rsidRPr="00B63EBA" w:rsidRDefault="00FB2EA7"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B63EBA">
        <w:rPr>
          <w:rFonts w:ascii="Arial" w:hAnsi="Arial" w:cs="Arial"/>
          <w:sz w:val="24"/>
          <w:szCs w:val="24"/>
        </w:rPr>
        <w:t>2013 yılında ö</w:t>
      </w:r>
      <w:r w:rsidR="00CF120A" w:rsidRPr="00B63EBA">
        <w:rPr>
          <w:rFonts w:ascii="Arial" w:hAnsi="Arial" w:cs="Arial"/>
          <w:sz w:val="24"/>
          <w:szCs w:val="24"/>
        </w:rPr>
        <w:t>zel yatırım harcamalarının GSYH içindeki payının 2012 yılındaki yüzde 16 seviyesinden yüzde</w:t>
      </w:r>
      <w:r w:rsidR="00CF7873">
        <w:rPr>
          <w:rFonts w:ascii="Arial" w:hAnsi="Arial" w:cs="Arial"/>
          <w:sz w:val="24"/>
          <w:szCs w:val="24"/>
        </w:rPr>
        <w:t xml:space="preserve"> </w:t>
      </w:r>
      <w:r w:rsidR="00D54F22">
        <w:rPr>
          <w:rFonts w:ascii="Arial" w:hAnsi="Arial" w:cs="Arial"/>
          <w:sz w:val="24"/>
          <w:szCs w:val="24"/>
        </w:rPr>
        <w:t>14,8</w:t>
      </w:r>
      <w:r w:rsidRPr="00B63EBA">
        <w:rPr>
          <w:rFonts w:ascii="Arial" w:hAnsi="Arial" w:cs="Arial"/>
          <w:sz w:val="24"/>
          <w:szCs w:val="24"/>
        </w:rPr>
        <w:t>’</w:t>
      </w:r>
      <w:r w:rsidR="00D54F22">
        <w:rPr>
          <w:rFonts w:ascii="Arial" w:hAnsi="Arial" w:cs="Arial"/>
          <w:sz w:val="24"/>
          <w:szCs w:val="24"/>
        </w:rPr>
        <w:t>e</w:t>
      </w:r>
      <w:r w:rsidR="00CF120A" w:rsidRPr="00B63EBA">
        <w:rPr>
          <w:rFonts w:ascii="Arial" w:hAnsi="Arial" w:cs="Arial"/>
          <w:sz w:val="24"/>
          <w:szCs w:val="24"/>
        </w:rPr>
        <w:t xml:space="preserve"> </w:t>
      </w:r>
      <w:r w:rsidRPr="00B63EBA">
        <w:rPr>
          <w:rFonts w:ascii="Arial" w:hAnsi="Arial" w:cs="Arial"/>
          <w:sz w:val="24"/>
          <w:szCs w:val="24"/>
        </w:rPr>
        <w:t>gerilemesi beklenmektedir</w:t>
      </w:r>
      <w:r w:rsidR="00CF120A" w:rsidRPr="00B63EBA">
        <w:rPr>
          <w:rFonts w:ascii="Arial" w:hAnsi="Arial" w:cs="Arial"/>
          <w:sz w:val="24"/>
          <w:szCs w:val="24"/>
        </w:rPr>
        <w:t xml:space="preserve">. </w:t>
      </w:r>
      <w:r w:rsidRPr="00B63EBA">
        <w:rPr>
          <w:rFonts w:ascii="Arial" w:hAnsi="Arial" w:cs="Arial"/>
          <w:sz w:val="24"/>
          <w:szCs w:val="24"/>
        </w:rPr>
        <w:t>Aynı dönemde k</w:t>
      </w:r>
      <w:r w:rsidR="00D6721E" w:rsidRPr="00B63EBA">
        <w:rPr>
          <w:rFonts w:ascii="Arial" w:hAnsi="Arial" w:cs="Arial"/>
          <w:sz w:val="24"/>
          <w:szCs w:val="24"/>
        </w:rPr>
        <w:t>amu yatırımlarının GSYH içindeki payı</w:t>
      </w:r>
      <w:r w:rsidRPr="00B63EBA">
        <w:rPr>
          <w:rFonts w:ascii="Arial" w:hAnsi="Arial" w:cs="Arial"/>
          <w:sz w:val="24"/>
          <w:szCs w:val="24"/>
        </w:rPr>
        <w:t>nın</w:t>
      </w:r>
      <w:r w:rsidR="00D6721E" w:rsidRPr="00B63EBA">
        <w:rPr>
          <w:rFonts w:ascii="Arial" w:hAnsi="Arial" w:cs="Arial"/>
          <w:sz w:val="24"/>
          <w:szCs w:val="24"/>
        </w:rPr>
        <w:t xml:space="preserve"> </w:t>
      </w:r>
      <w:r w:rsidRPr="00B63EBA">
        <w:rPr>
          <w:rFonts w:ascii="Arial" w:hAnsi="Arial" w:cs="Arial"/>
          <w:sz w:val="24"/>
          <w:szCs w:val="24"/>
        </w:rPr>
        <w:t>ise 0,</w:t>
      </w:r>
      <w:r w:rsidR="00D54F22">
        <w:rPr>
          <w:rFonts w:ascii="Arial" w:hAnsi="Arial" w:cs="Arial"/>
          <w:sz w:val="24"/>
          <w:szCs w:val="24"/>
        </w:rPr>
        <w:t>4</w:t>
      </w:r>
      <w:r w:rsidR="00CF120A" w:rsidRPr="00B63EBA">
        <w:rPr>
          <w:rFonts w:ascii="Arial" w:hAnsi="Arial" w:cs="Arial"/>
          <w:sz w:val="24"/>
          <w:szCs w:val="24"/>
        </w:rPr>
        <w:t xml:space="preserve"> puan artarak yüzde 4,</w:t>
      </w:r>
      <w:r w:rsidR="00D54F22">
        <w:rPr>
          <w:rFonts w:ascii="Arial" w:hAnsi="Arial" w:cs="Arial"/>
          <w:sz w:val="24"/>
          <w:szCs w:val="24"/>
        </w:rPr>
        <w:t>8</w:t>
      </w:r>
      <w:r w:rsidRPr="00B63EBA">
        <w:rPr>
          <w:rFonts w:ascii="Arial" w:hAnsi="Arial" w:cs="Arial"/>
          <w:sz w:val="24"/>
          <w:szCs w:val="24"/>
        </w:rPr>
        <w:t>’</w:t>
      </w:r>
      <w:r w:rsidR="00D54F22">
        <w:rPr>
          <w:rFonts w:ascii="Arial" w:hAnsi="Arial" w:cs="Arial"/>
          <w:sz w:val="24"/>
          <w:szCs w:val="24"/>
        </w:rPr>
        <w:t>e</w:t>
      </w:r>
      <w:r w:rsidRPr="00B63EBA">
        <w:rPr>
          <w:rFonts w:ascii="Arial" w:hAnsi="Arial" w:cs="Arial"/>
          <w:sz w:val="24"/>
          <w:szCs w:val="24"/>
        </w:rPr>
        <w:t xml:space="preserve"> yükselmesi öngörülmektedir.</w:t>
      </w:r>
      <w:r w:rsidR="00E23724" w:rsidRPr="00B63EBA">
        <w:rPr>
          <w:rFonts w:ascii="Arial" w:hAnsi="Arial" w:cs="Arial"/>
          <w:sz w:val="24"/>
          <w:szCs w:val="24"/>
        </w:rPr>
        <w:t xml:space="preserve"> Böylece toplam yatırımların GSYH içindeki payının yüzde 19,</w:t>
      </w:r>
      <w:r w:rsidR="00CF7873">
        <w:rPr>
          <w:rFonts w:ascii="Arial" w:hAnsi="Arial" w:cs="Arial"/>
          <w:sz w:val="24"/>
          <w:szCs w:val="24"/>
        </w:rPr>
        <w:t>6</w:t>
      </w:r>
      <w:r w:rsidR="00F82149" w:rsidRPr="00B63EBA">
        <w:rPr>
          <w:rFonts w:ascii="Arial" w:hAnsi="Arial" w:cs="Arial"/>
          <w:sz w:val="24"/>
          <w:szCs w:val="24"/>
        </w:rPr>
        <w:t xml:space="preserve"> olarak gerçekleşmesi </w:t>
      </w:r>
      <w:r w:rsidR="00E23724" w:rsidRPr="00B63EBA">
        <w:rPr>
          <w:rFonts w:ascii="Arial" w:hAnsi="Arial" w:cs="Arial"/>
          <w:sz w:val="24"/>
          <w:szCs w:val="24"/>
        </w:rPr>
        <w:t>beklenmektedir.</w:t>
      </w:r>
    </w:p>
    <w:p w:rsidR="00D6721E" w:rsidRPr="00CF7873" w:rsidRDefault="00D6721E"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CF7873">
        <w:rPr>
          <w:rFonts w:ascii="Arial" w:hAnsi="Arial" w:cs="Arial"/>
          <w:sz w:val="24"/>
          <w:szCs w:val="24"/>
        </w:rPr>
        <w:t>Son yıllarda, büyümenin düşük veya negatif olduğu yıllar hariç tutulduğunda, tasarruf-yatırım açığının genel olarak artış eğiliminde olduğu gözlenmektedir. Bu eğilimin temel belirleyicisi özel kesim tasarruf oranlarındaki azalma</w:t>
      </w:r>
      <w:r w:rsidR="00FB2EA7" w:rsidRPr="00CF7873">
        <w:rPr>
          <w:rFonts w:ascii="Arial" w:hAnsi="Arial" w:cs="Arial"/>
          <w:sz w:val="24"/>
          <w:szCs w:val="24"/>
        </w:rPr>
        <w:t>dır.</w:t>
      </w:r>
      <w:r w:rsidRPr="00CF7873">
        <w:rPr>
          <w:rFonts w:ascii="Arial" w:hAnsi="Arial" w:cs="Arial"/>
          <w:sz w:val="24"/>
          <w:szCs w:val="24"/>
        </w:rPr>
        <w:t xml:space="preserve"> 2011 yılında </w:t>
      </w:r>
      <w:proofErr w:type="spellStart"/>
      <w:r w:rsidRPr="00CF7873">
        <w:rPr>
          <w:rFonts w:ascii="Arial" w:hAnsi="Arial" w:cs="Arial"/>
          <w:sz w:val="24"/>
          <w:szCs w:val="24"/>
        </w:rPr>
        <w:t>GSYH’ya</w:t>
      </w:r>
      <w:proofErr w:type="spellEnd"/>
      <w:r w:rsidRPr="00CF7873">
        <w:rPr>
          <w:rFonts w:ascii="Arial" w:hAnsi="Arial" w:cs="Arial"/>
          <w:sz w:val="24"/>
          <w:szCs w:val="24"/>
        </w:rPr>
        <w:t xml:space="preserve"> oranla yüzde 9</w:t>
      </w:r>
      <w:r w:rsidR="00FB2EA7" w:rsidRPr="00CF7873">
        <w:rPr>
          <w:rFonts w:ascii="Arial" w:hAnsi="Arial" w:cs="Arial"/>
          <w:sz w:val="24"/>
          <w:szCs w:val="24"/>
        </w:rPr>
        <w:t>,</w:t>
      </w:r>
      <w:r w:rsidR="009D15F6">
        <w:rPr>
          <w:rFonts w:ascii="Arial" w:hAnsi="Arial" w:cs="Arial"/>
          <w:sz w:val="24"/>
          <w:szCs w:val="24"/>
        </w:rPr>
        <w:t>5</w:t>
      </w:r>
      <w:r w:rsidRPr="00CF7873">
        <w:rPr>
          <w:rFonts w:ascii="Arial" w:hAnsi="Arial" w:cs="Arial"/>
          <w:sz w:val="24"/>
          <w:szCs w:val="24"/>
        </w:rPr>
        <w:t xml:space="preserve"> seviyesine ulaşan tasarruf-yatırım açığı, alınan makro</w:t>
      </w:r>
      <w:r w:rsidR="003526FB" w:rsidRPr="00CF7873">
        <w:rPr>
          <w:rFonts w:ascii="Arial" w:hAnsi="Arial" w:cs="Arial"/>
          <w:sz w:val="24"/>
          <w:szCs w:val="24"/>
        </w:rPr>
        <w:t xml:space="preserve"> </w:t>
      </w:r>
      <w:r w:rsidRPr="00CF7873">
        <w:rPr>
          <w:rFonts w:ascii="Arial" w:hAnsi="Arial" w:cs="Arial"/>
          <w:sz w:val="24"/>
          <w:szCs w:val="24"/>
        </w:rPr>
        <w:t>ihtiyati tedbirler sonucunda 2012 yılında yüzde 5,8</w:t>
      </w:r>
      <w:r w:rsidR="00E23724" w:rsidRPr="00CF7873">
        <w:rPr>
          <w:rFonts w:ascii="Arial" w:hAnsi="Arial" w:cs="Arial"/>
          <w:sz w:val="24"/>
          <w:szCs w:val="24"/>
        </w:rPr>
        <w:t>’e düşürülmüştür</w:t>
      </w:r>
      <w:r w:rsidRPr="00CF7873">
        <w:rPr>
          <w:rFonts w:ascii="Arial" w:hAnsi="Arial" w:cs="Arial"/>
          <w:sz w:val="24"/>
          <w:szCs w:val="24"/>
        </w:rPr>
        <w:t>.</w:t>
      </w:r>
      <w:r w:rsidRPr="00CF7873">
        <w:rPr>
          <w:rFonts w:ascii="Arial" w:hAnsi="Arial" w:cs="Arial"/>
          <w:color w:val="FF0000"/>
          <w:sz w:val="24"/>
          <w:szCs w:val="24"/>
        </w:rPr>
        <w:t xml:space="preserve"> </w:t>
      </w:r>
      <w:r w:rsidR="00E23724" w:rsidRPr="00CF7873">
        <w:rPr>
          <w:rFonts w:ascii="Arial" w:hAnsi="Arial" w:cs="Arial"/>
          <w:sz w:val="24"/>
          <w:szCs w:val="24"/>
        </w:rPr>
        <w:t>2013 yılında yatırımlardaki azalmaya rağmen toplam tasarruflardaki önemli düşüş sonucunda tasarruf-yatırım açığının</w:t>
      </w:r>
      <w:r w:rsidR="00E23724" w:rsidRPr="00CF7873">
        <w:rPr>
          <w:rFonts w:ascii="Arial" w:hAnsi="Arial" w:cs="Arial"/>
          <w:color w:val="FF0000"/>
          <w:sz w:val="24"/>
          <w:szCs w:val="24"/>
        </w:rPr>
        <w:t xml:space="preserve"> </w:t>
      </w:r>
      <w:proofErr w:type="spellStart"/>
      <w:r w:rsidR="00F604E5" w:rsidRPr="00CF7873">
        <w:rPr>
          <w:rFonts w:ascii="Arial" w:hAnsi="Arial" w:cs="Arial"/>
          <w:sz w:val="24"/>
          <w:szCs w:val="24"/>
        </w:rPr>
        <w:t>GSYH’ya</w:t>
      </w:r>
      <w:proofErr w:type="spellEnd"/>
      <w:r w:rsidR="00F604E5" w:rsidRPr="00CF7873">
        <w:rPr>
          <w:rFonts w:ascii="Arial" w:hAnsi="Arial" w:cs="Arial"/>
          <w:sz w:val="24"/>
          <w:szCs w:val="24"/>
        </w:rPr>
        <w:t xml:space="preserve"> oran</w:t>
      </w:r>
      <w:r w:rsidR="00345003">
        <w:rPr>
          <w:rFonts w:ascii="Arial" w:hAnsi="Arial" w:cs="Arial"/>
          <w:sz w:val="24"/>
          <w:szCs w:val="24"/>
        </w:rPr>
        <w:t>ının</w:t>
      </w:r>
      <w:r w:rsidR="00F604E5" w:rsidRPr="00CF7873">
        <w:rPr>
          <w:rFonts w:ascii="Arial" w:hAnsi="Arial" w:cs="Arial"/>
          <w:sz w:val="24"/>
          <w:szCs w:val="24"/>
        </w:rPr>
        <w:t xml:space="preserve"> </w:t>
      </w:r>
      <w:r w:rsidR="00E23724" w:rsidRPr="00CF7873">
        <w:rPr>
          <w:rFonts w:ascii="Arial" w:hAnsi="Arial" w:cs="Arial"/>
          <w:sz w:val="24"/>
          <w:szCs w:val="24"/>
        </w:rPr>
        <w:t xml:space="preserve">yüzde </w:t>
      </w:r>
      <w:r w:rsidR="009D15F6">
        <w:rPr>
          <w:rFonts w:ascii="Arial" w:hAnsi="Arial" w:cs="Arial"/>
          <w:sz w:val="24"/>
          <w:szCs w:val="24"/>
        </w:rPr>
        <w:t>6,9’a</w:t>
      </w:r>
      <w:r w:rsidR="00E23724" w:rsidRPr="00CF7873">
        <w:rPr>
          <w:rFonts w:ascii="Arial" w:hAnsi="Arial" w:cs="Arial"/>
          <w:sz w:val="24"/>
          <w:szCs w:val="24"/>
        </w:rPr>
        <w:t xml:space="preserve"> yükselmesi beklenmektedir.</w:t>
      </w:r>
    </w:p>
    <w:p w:rsidR="00EC212B" w:rsidRDefault="00EC212B"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 xml:space="preserve">2012 yılında yurt içi talepte meydana gelen yavaşlama ve petrol dışı emtia fiyatlarında yaşanan düşüş, temel mal fiyatları yıllık artış hızını yavaşlatmıştır. Hizmet fiyatları yıllık artış hızında ise, yüksek seyreden TÜFE yıllık artış hızının fiyatlama davranışlarına olumsuz etkisi ve maliyet artırıcı gelişmeler nedeniyle sınırlı oranda artış yaşanmıştır. Çekirdek enflasyonun seyrinde ise temel mal fiyatları belirleyici olmuş ve ÖKTG I endeksi yıllık artış hızı 2012 yılında yüzde 5,8 seviyesine gerilemiştir. 2012 yılında dalgalı bir seyir izleyen gıda fiyatları yıllık artış hızında yılın son çeyreğinde belirgin bir düşüş kaydedilmiştir. Enerji fiyatları yıllık artış hızı ise yıl genelinde yüksek seyretmiş ve yılın son çeyreğinde yapılan fiyat ayarlamaları nedeniyle ivmelenmiştir. </w:t>
      </w:r>
      <w:r>
        <w:rPr>
          <w:rFonts w:ascii="Arial" w:hAnsi="Arial" w:cs="Arial"/>
          <w:sz w:val="24"/>
          <w:szCs w:val="24"/>
        </w:rPr>
        <w:t xml:space="preserve">Bu gelişmeler sonucunda </w:t>
      </w:r>
      <w:r w:rsidRPr="00960699">
        <w:rPr>
          <w:rFonts w:ascii="Arial" w:hAnsi="Arial" w:cs="Arial"/>
          <w:sz w:val="24"/>
          <w:szCs w:val="24"/>
        </w:rPr>
        <w:t xml:space="preserve">TÜFE yıllık artış hızı 2012 yılında yüzde 6,2 </w:t>
      </w:r>
      <w:r>
        <w:rPr>
          <w:rFonts w:ascii="Arial" w:hAnsi="Arial" w:cs="Arial"/>
          <w:sz w:val="24"/>
          <w:szCs w:val="24"/>
        </w:rPr>
        <w:t xml:space="preserve">oranına gerileyerek, son 44 yılın en düşük </w:t>
      </w:r>
      <w:proofErr w:type="gramStart"/>
      <w:r>
        <w:rPr>
          <w:rFonts w:ascii="Arial" w:hAnsi="Arial" w:cs="Arial"/>
          <w:sz w:val="24"/>
          <w:szCs w:val="24"/>
        </w:rPr>
        <w:t>yıl sonu</w:t>
      </w:r>
      <w:proofErr w:type="gramEnd"/>
      <w:r>
        <w:rPr>
          <w:rFonts w:ascii="Arial" w:hAnsi="Arial" w:cs="Arial"/>
          <w:sz w:val="24"/>
          <w:szCs w:val="24"/>
        </w:rPr>
        <w:t xml:space="preserve"> seviyesine ulaşmıştır.</w:t>
      </w:r>
    </w:p>
    <w:p w:rsidR="00EC212B" w:rsidRPr="00276B6A" w:rsidRDefault="00EC212B"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2013 yılı Ocak-</w:t>
      </w:r>
      <w:r>
        <w:rPr>
          <w:rFonts w:ascii="Arial" w:hAnsi="Arial" w:cs="Arial"/>
          <w:sz w:val="24"/>
          <w:szCs w:val="24"/>
        </w:rPr>
        <w:t>Eylül</w:t>
      </w:r>
      <w:r w:rsidRPr="00276B6A">
        <w:rPr>
          <w:rFonts w:ascii="Arial" w:hAnsi="Arial" w:cs="Arial"/>
          <w:sz w:val="24"/>
          <w:szCs w:val="24"/>
        </w:rPr>
        <w:t xml:space="preserve"> döneminde TÜFE birikimli artış hızı bir önceki yılın aynı dönemine göre 1,</w:t>
      </w:r>
      <w:r>
        <w:rPr>
          <w:rFonts w:ascii="Arial" w:hAnsi="Arial" w:cs="Arial"/>
          <w:sz w:val="24"/>
          <w:szCs w:val="24"/>
        </w:rPr>
        <w:t>7</w:t>
      </w:r>
      <w:r w:rsidRPr="00276B6A">
        <w:rPr>
          <w:rFonts w:ascii="Arial" w:hAnsi="Arial" w:cs="Arial"/>
          <w:sz w:val="24"/>
          <w:szCs w:val="24"/>
        </w:rPr>
        <w:t xml:space="preserve"> puan artarak yüzde </w:t>
      </w:r>
      <w:r>
        <w:rPr>
          <w:rFonts w:ascii="Arial" w:hAnsi="Arial" w:cs="Arial"/>
          <w:sz w:val="24"/>
          <w:szCs w:val="24"/>
        </w:rPr>
        <w:t>5</w:t>
      </w:r>
      <w:r w:rsidRPr="00276B6A">
        <w:rPr>
          <w:rFonts w:ascii="Arial" w:hAnsi="Arial" w:cs="Arial"/>
          <w:sz w:val="24"/>
          <w:szCs w:val="24"/>
        </w:rPr>
        <w:t xml:space="preserve"> olarak gerçekleşmiştir. Bu gelişmede işlenmemiş gıda fiyatlarında Ocak ve Haziran aylarında yaşanan artışlar</w:t>
      </w:r>
      <w:r>
        <w:rPr>
          <w:rFonts w:ascii="Arial" w:hAnsi="Arial" w:cs="Arial"/>
          <w:sz w:val="24"/>
          <w:szCs w:val="24"/>
        </w:rPr>
        <w:t xml:space="preserve"> ve </w:t>
      </w:r>
      <w:r w:rsidRPr="00276B6A">
        <w:rPr>
          <w:rFonts w:ascii="Arial" w:hAnsi="Arial" w:cs="Arial"/>
          <w:sz w:val="24"/>
          <w:szCs w:val="24"/>
        </w:rPr>
        <w:t>tütün ürünleri f</w:t>
      </w:r>
      <w:r>
        <w:rPr>
          <w:rFonts w:ascii="Arial" w:hAnsi="Arial" w:cs="Arial"/>
          <w:sz w:val="24"/>
          <w:szCs w:val="24"/>
        </w:rPr>
        <w:t>iyatlarında yapılan düzenleme</w:t>
      </w:r>
      <w:r w:rsidRPr="00276B6A">
        <w:rPr>
          <w:rFonts w:ascii="Arial" w:hAnsi="Arial" w:cs="Arial"/>
          <w:sz w:val="24"/>
          <w:szCs w:val="24"/>
        </w:rPr>
        <w:t xml:space="preserve"> belirleyici olmuştur. </w:t>
      </w:r>
      <w:r>
        <w:rPr>
          <w:rFonts w:ascii="Arial" w:hAnsi="Arial" w:cs="Arial"/>
          <w:sz w:val="24"/>
          <w:szCs w:val="24"/>
        </w:rPr>
        <w:t>Ayrıca</w:t>
      </w:r>
      <w:r w:rsidR="003D6FBB" w:rsidRPr="003D6FBB">
        <w:rPr>
          <w:rFonts w:ascii="Arial" w:hAnsi="Arial" w:cs="Arial"/>
          <w:sz w:val="24"/>
          <w:szCs w:val="24"/>
        </w:rPr>
        <w:t>,</w:t>
      </w:r>
      <w:r w:rsidRPr="00276B6A">
        <w:rPr>
          <w:rFonts w:ascii="Arial" w:hAnsi="Arial" w:cs="Arial"/>
          <w:sz w:val="24"/>
          <w:szCs w:val="24"/>
        </w:rPr>
        <w:t xml:space="preserve"> Türk Lirasında yaşanan değer kaybı ve petrol fiyatlarında </w:t>
      </w:r>
      <w:r>
        <w:rPr>
          <w:rFonts w:ascii="Arial" w:hAnsi="Arial" w:cs="Arial"/>
          <w:sz w:val="24"/>
          <w:szCs w:val="24"/>
        </w:rPr>
        <w:t>kaydedilen</w:t>
      </w:r>
      <w:r w:rsidRPr="00276B6A">
        <w:rPr>
          <w:rFonts w:ascii="Arial" w:hAnsi="Arial" w:cs="Arial"/>
          <w:sz w:val="24"/>
          <w:szCs w:val="24"/>
        </w:rPr>
        <w:t xml:space="preserve"> artışlar Haziran ayından itibaren TÜFE birikimli artış hızını ivmelendirmiştir. </w:t>
      </w:r>
      <w:r>
        <w:rPr>
          <w:rFonts w:ascii="Arial" w:hAnsi="Arial" w:cs="Arial"/>
          <w:sz w:val="24"/>
          <w:szCs w:val="24"/>
        </w:rPr>
        <w:t>Böylece</w:t>
      </w:r>
      <w:r w:rsidRPr="00276B6A">
        <w:rPr>
          <w:rFonts w:ascii="Arial" w:hAnsi="Arial" w:cs="Arial"/>
          <w:sz w:val="24"/>
          <w:szCs w:val="24"/>
        </w:rPr>
        <w:t xml:space="preserve"> TÜFE yıllık artış hızı </w:t>
      </w:r>
      <w:r>
        <w:rPr>
          <w:rFonts w:ascii="Arial" w:hAnsi="Arial" w:cs="Arial"/>
          <w:sz w:val="24"/>
          <w:szCs w:val="24"/>
        </w:rPr>
        <w:t xml:space="preserve">2013 yılı Eylül ayında </w:t>
      </w:r>
      <w:r w:rsidRPr="00276B6A">
        <w:rPr>
          <w:rFonts w:ascii="Arial" w:hAnsi="Arial" w:cs="Arial"/>
          <w:sz w:val="24"/>
          <w:szCs w:val="24"/>
        </w:rPr>
        <w:t xml:space="preserve">yüzde </w:t>
      </w:r>
      <w:r>
        <w:rPr>
          <w:rFonts w:ascii="Arial" w:hAnsi="Arial" w:cs="Arial"/>
          <w:sz w:val="24"/>
          <w:szCs w:val="24"/>
        </w:rPr>
        <w:t>7,9</w:t>
      </w:r>
      <w:r w:rsidRPr="00276B6A">
        <w:rPr>
          <w:rFonts w:ascii="Arial" w:hAnsi="Arial" w:cs="Arial"/>
          <w:sz w:val="24"/>
          <w:szCs w:val="24"/>
        </w:rPr>
        <w:t xml:space="preserve"> olarak gerçekleşmiştir. </w:t>
      </w:r>
      <w:r>
        <w:rPr>
          <w:rFonts w:ascii="Arial" w:hAnsi="Arial" w:cs="Arial"/>
          <w:sz w:val="24"/>
          <w:szCs w:val="24"/>
        </w:rPr>
        <w:t xml:space="preserve">Enerji fiyatlarındaki </w:t>
      </w:r>
      <w:proofErr w:type="gramStart"/>
      <w:r>
        <w:rPr>
          <w:rFonts w:ascii="Arial" w:hAnsi="Arial" w:cs="Arial"/>
          <w:sz w:val="24"/>
          <w:szCs w:val="24"/>
        </w:rPr>
        <w:t>baz</w:t>
      </w:r>
      <w:proofErr w:type="gramEnd"/>
      <w:r w:rsidR="003D6FBB">
        <w:rPr>
          <w:rFonts w:ascii="Arial" w:hAnsi="Arial" w:cs="Arial"/>
          <w:sz w:val="24"/>
          <w:szCs w:val="24"/>
        </w:rPr>
        <w:t xml:space="preserve"> </w:t>
      </w:r>
      <w:r>
        <w:rPr>
          <w:rFonts w:ascii="Arial" w:hAnsi="Arial" w:cs="Arial"/>
          <w:sz w:val="24"/>
          <w:szCs w:val="24"/>
        </w:rPr>
        <w:t>etkisinin ortadan kalkması ve e</w:t>
      </w:r>
      <w:r w:rsidRPr="00276B6A">
        <w:rPr>
          <w:rFonts w:ascii="Arial" w:hAnsi="Arial" w:cs="Arial"/>
          <w:sz w:val="24"/>
          <w:szCs w:val="24"/>
        </w:rPr>
        <w:t xml:space="preserve">nflasyonu etkileyen faktörlerin mevcut yapısı </w:t>
      </w:r>
      <w:r>
        <w:rPr>
          <w:rFonts w:ascii="Arial" w:hAnsi="Arial" w:cs="Arial"/>
          <w:sz w:val="24"/>
          <w:szCs w:val="24"/>
        </w:rPr>
        <w:t xml:space="preserve">altında </w:t>
      </w:r>
      <w:r w:rsidRPr="00276B6A">
        <w:rPr>
          <w:rFonts w:ascii="Arial" w:hAnsi="Arial" w:cs="Arial"/>
          <w:sz w:val="24"/>
          <w:szCs w:val="24"/>
        </w:rPr>
        <w:t>yıl</w:t>
      </w:r>
      <w:r>
        <w:rPr>
          <w:rFonts w:ascii="Arial" w:hAnsi="Arial" w:cs="Arial"/>
          <w:sz w:val="24"/>
          <w:szCs w:val="24"/>
        </w:rPr>
        <w:t xml:space="preserve"> </w:t>
      </w:r>
      <w:r w:rsidRPr="00276B6A">
        <w:rPr>
          <w:rFonts w:ascii="Arial" w:hAnsi="Arial" w:cs="Arial"/>
          <w:sz w:val="24"/>
          <w:szCs w:val="24"/>
        </w:rPr>
        <w:t xml:space="preserve">sonunda TÜFE yıllık artış hızının yüzde </w:t>
      </w:r>
      <w:r w:rsidRPr="00FA5F60">
        <w:rPr>
          <w:rFonts w:ascii="Arial" w:hAnsi="Arial" w:cs="Arial"/>
          <w:sz w:val="24"/>
          <w:szCs w:val="24"/>
        </w:rPr>
        <w:t>6,8</w:t>
      </w:r>
      <w:r w:rsidRPr="00276B6A">
        <w:rPr>
          <w:rFonts w:ascii="Arial" w:hAnsi="Arial" w:cs="Arial"/>
          <w:sz w:val="24"/>
          <w:szCs w:val="24"/>
        </w:rPr>
        <w:t xml:space="preserve"> olarak ger</w:t>
      </w:r>
      <w:r>
        <w:rPr>
          <w:rFonts w:ascii="Arial" w:hAnsi="Arial" w:cs="Arial"/>
          <w:sz w:val="24"/>
          <w:szCs w:val="24"/>
        </w:rPr>
        <w:t>çekleşmesi beklenmektedir.</w:t>
      </w:r>
    </w:p>
    <w:p w:rsidR="00EC212B" w:rsidRPr="0079148D" w:rsidRDefault="00EC212B"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79148D">
        <w:rPr>
          <w:rFonts w:ascii="Arial" w:hAnsi="Arial" w:cs="Arial"/>
          <w:sz w:val="24"/>
          <w:szCs w:val="24"/>
        </w:rPr>
        <w:t>2012 yılının ikinci yarısında enflasyonist risklerin görece azalması</w:t>
      </w:r>
      <w:r>
        <w:rPr>
          <w:rFonts w:ascii="Arial" w:hAnsi="Arial" w:cs="Arial"/>
          <w:sz w:val="24"/>
          <w:szCs w:val="24"/>
        </w:rPr>
        <w:t xml:space="preserve"> ve Eylül ile Ekim aylarında </w:t>
      </w:r>
      <w:r w:rsidRPr="00290643">
        <w:rPr>
          <w:rFonts w:ascii="Arial" w:hAnsi="Arial" w:cs="Arial"/>
          <w:sz w:val="24"/>
          <w:szCs w:val="24"/>
        </w:rPr>
        <w:t>gelişmiş ülke merkez bankalarının ek parasal genişlemeye gitmesinin sermaye akımlarını hızlandırma potansiyeli t</w:t>
      </w:r>
      <w:r>
        <w:rPr>
          <w:rFonts w:ascii="Arial" w:hAnsi="Arial" w:cs="Arial"/>
          <w:sz w:val="24"/>
          <w:szCs w:val="24"/>
        </w:rPr>
        <w:t xml:space="preserve">aşıması sebebiyle </w:t>
      </w:r>
      <w:r w:rsidRPr="0079148D">
        <w:rPr>
          <w:rFonts w:ascii="Arial" w:hAnsi="Arial" w:cs="Arial"/>
          <w:sz w:val="24"/>
          <w:szCs w:val="24"/>
        </w:rPr>
        <w:t>Merkez Bankası, 2011 yılı son çeyreğinden itibaren uyguladığı sıkı para politikası duruşun</w:t>
      </w:r>
      <w:r w:rsidR="00E22F00">
        <w:rPr>
          <w:rFonts w:ascii="Arial" w:hAnsi="Arial" w:cs="Arial"/>
          <w:sz w:val="24"/>
          <w:szCs w:val="24"/>
        </w:rPr>
        <w:t>u</w:t>
      </w:r>
      <w:r w:rsidRPr="0079148D">
        <w:rPr>
          <w:rFonts w:ascii="Arial" w:hAnsi="Arial" w:cs="Arial"/>
          <w:sz w:val="24"/>
          <w:szCs w:val="24"/>
        </w:rPr>
        <w:t xml:space="preserve"> </w:t>
      </w:r>
      <w:r>
        <w:rPr>
          <w:rFonts w:ascii="Arial" w:hAnsi="Arial" w:cs="Arial"/>
          <w:sz w:val="24"/>
          <w:szCs w:val="24"/>
        </w:rPr>
        <w:t>tedrici</w:t>
      </w:r>
      <w:r w:rsidRPr="0079148D">
        <w:rPr>
          <w:rFonts w:ascii="Arial" w:hAnsi="Arial" w:cs="Arial"/>
          <w:sz w:val="24"/>
          <w:szCs w:val="24"/>
        </w:rPr>
        <w:t xml:space="preserve"> şekilde </w:t>
      </w:r>
      <w:r w:rsidR="00E22F00">
        <w:rPr>
          <w:rFonts w:ascii="Arial" w:hAnsi="Arial" w:cs="Arial"/>
          <w:sz w:val="24"/>
          <w:szCs w:val="24"/>
        </w:rPr>
        <w:t>gevşetmiştir</w:t>
      </w:r>
      <w:r w:rsidRPr="0079148D">
        <w:rPr>
          <w:rFonts w:ascii="Arial" w:hAnsi="Arial" w:cs="Arial"/>
          <w:sz w:val="24"/>
          <w:szCs w:val="24"/>
        </w:rPr>
        <w:t xml:space="preserve">. </w:t>
      </w:r>
      <w:r>
        <w:rPr>
          <w:rFonts w:ascii="Arial" w:hAnsi="Arial" w:cs="Arial"/>
          <w:sz w:val="24"/>
          <w:szCs w:val="24"/>
        </w:rPr>
        <w:t>Yılın ikinci yarısında</w:t>
      </w:r>
      <w:r w:rsidRPr="0079148D">
        <w:rPr>
          <w:rFonts w:ascii="Arial" w:hAnsi="Arial" w:cs="Arial"/>
          <w:sz w:val="24"/>
          <w:szCs w:val="24"/>
        </w:rPr>
        <w:t xml:space="preserve"> faiz koridorunun üst sınırı kademeli olarak </w:t>
      </w:r>
      <w:r>
        <w:rPr>
          <w:rFonts w:ascii="Arial" w:hAnsi="Arial" w:cs="Arial"/>
          <w:sz w:val="24"/>
          <w:szCs w:val="24"/>
        </w:rPr>
        <w:t xml:space="preserve">yüzde 11,5’den yüzde 9’a </w:t>
      </w:r>
      <w:r w:rsidRPr="0079148D">
        <w:rPr>
          <w:rFonts w:ascii="Arial" w:hAnsi="Arial" w:cs="Arial"/>
          <w:sz w:val="24"/>
          <w:szCs w:val="24"/>
        </w:rPr>
        <w:t xml:space="preserve">düşürülmüş ve piyasaya görece daha </w:t>
      </w:r>
      <w:r>
        <w:rPr>
          <w:rFonts w:ascii="Arial" w:hAnsi="Arial" w:cs="Arial"/>
          <w:sz w:val="24"/>
          <w:szCs w:val="24"/>
        </w:rPr>
        <w:t>düşük</w:t>
      </w:r>
      <w:r w:rsidRPr="0079148D">
        <w:rPr>
          <w:rFonts w:ascii="Arial" w:hAnsi="Arial" w:cs="Arial"/>
          <w:sz w:val="24"/>
          <w:szCs w:val="24"/>
        </w:rPr>
        <w:t xml:space="preserve"> maliyet</w:t>
      </w:r>
      <w:r>
        <w:rPr>
          <w:rFonts w:ascii="Arial" w:hAnsi="Arial" w:cs="Arial"/>
          <w:sz w:val="24"/>
          <w:szCs w:val="24"/>
        </w:rPr>
        <w:t>le</w:t>
      </w:r>
      <w:r w:rsidRPr="0079148D">
        <w:rPr>
          <w:rFonts w:ascii="Arial" w:hAnsi="Arial" w:cs="Arial"/>
          <w:sz w:val="24"/>
          <w:szCs w:val="24"/>
        </w:rPr>
        <w:t xml:space="preserve"> likidite sağlanmıştır. Bununla birlikte </w:t>
      </w:r>
      <w:r>
        <w:rPr>
          <w:rFonts w:ascii="Arial" w:hAnsi="Arial" w:cs="Arial"/>
          <w:sz w:val="24"/>
          <w:szCs w:val="24"/>
        </w:rPr>
        <w:t>kredilerin sermaye akımlarına olan duyarlılığını düşürmek,</w:t>
      </w:r>
      <w:r w:rsidRPr="0079148D">
        <w:rPr>
          <w:rFonts w:ascii="Arial" w:hAnsi="Arial" w:cs="Arial"/>
          <w:sz w:val="24"/>
          <w:szCs w:val="24"/>
        </w:rPr>
        <w:t xml:space="preserve"> Türk Lirasındaki değerlenme baskısını sınırlamak, döviz kurunda oynaklığı azaltmak ve döviz r</w:t>
      </w:r>
      <w:r>
        <w:rPr>
          <w:rFonts w:ascii="Arial" w:hAnsi="Arial" w:cs="Arial"/>
          <w:sz w:val="24"/>
          <w:szCs w:val="24"/>
        </w:rPr>
        <w:t xml:space="preserve">ezervlerini güçlendirmek amacıyla rezerv </w:t>
      </w:r>
      <w:proofErr w:type="gramStart"/>
      <w:r>
        <w:rPr>
          <w:rFonts w:ascii="Arial" w:hAnsi="Arial" w:cs="Arial"/>
          <w:sz w:val="24"/>
          <w:szCs w:val="24"/>
        </w:rPr>
        <w:t>opsiyon</w:t>
      </w:r>
      <w:proofErr w:type="gramEnd"/>
      <w:r>
        <w:rPr>
          <w:rFonts w:ascii="Arial" w:hAnsi="Arial" w:cs="Arial"/>
          <w:sz w:val="24"/>
          <w:szCs w:val="24"/>
        </w:rPr>
        <w:t xml:space="preserve"> m</w:t>
      </w:r>
      <w:r w:rsidRPr="0079148D">
        <w:rPr>
          <w:rFonts w:ascii="Arial" w:hAnsi="Arial" w:cs="Arial"/>
          <w:sz w:val="24"/>
          <w:szCs w:val="24"/>
        </w:rPr>
        <w:t xml:space="preserve">ekanizması (ROM) etkinleştirilmiştir. 2013 yılının Mayıs ayına kadar olan dönemde de Türk Lirasındaki değerlenme baskısına karşı duruş sergileyen Merkez Bankası, bu dönemde </w:t>
      </w:r>
      <w:r>
        <w:rPr>
          <w:rFonts w:ascii="Arial" w:hAnsi="Arial" w:cs="Arial"/>
          <w:sz w:val="24"/>
          <w:szCs w:val="24"/>
        </w:rPr>
        <w:t xml:space="preserve">finansal istikrara dair riskleri dengelemek amacıyla </w:t>
      </w:r>
      <w:r w:rsidRPr="0079148D">
        <w:rPr>
          <w:rFonts w:ascii="Arial" w:hAnsi="Arial" w:cs="Arial"/>
          <w:sz w:val="24"/>
          <w:szCs w:val="24"/>
        </w:rPr>
        <w:t>faiz indirimleri gerçekleştirmiş, zorunlu karşılık oranlarını sınırlı oranda artırmış ve ROM yoluyla piyasadan çekilen döviz likiditesini artırmaya yönelik adımlar atmıştır.</w:t>
      </w:r>
    </w:p>
    <w:p w:rsidR="00EC212B" w:rsidRPr="008E71EA" w:rsidRDefault="00EC212B"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8E71EA">
        <w:rPr>
          <w:rFonts w:ascii="Arial" w:hAnsi="Arial" w:cs="Arial"/>
          <w:sz w:val="24"/>
          <w:szCs w:val="24"/>
        </w:rPr>
        <w:t>Euro Bölgesindeki olumsuz ekonomik görünüme rağmen Türkiye’nin kredi notunun artırılması, cari açıkta oluşan düzelme ve yeni bir not artırımı yönündeki beklentilerin oluşturduğu olumlu etkiy</w:t>
      </w:r>
      <w:r>
        <w:rPr>
          <w:rFonts w:ascii="Arial" w:hAnsi="Arial" w:cs="Arial"/>
          <w:sz w:val="24"/>
          <w:szCs w:val="24"/>
        </w:rPr>
        <w:t>le 2012 yılının ikinci yarısından itibaren</w:t>
      </w:r>
      <w:r w:rsidRPr="008E71EA">
        <w:rPr>
          <w:rFonts w:ascii="Arial" w:hAnsi="Arial" w:cs="Arial"/>
          <w:sz w:val="24"/>
          <w:szCs w:val="24"/>
        </w:rPr>
        <w:t xml:space="preserve"> 2013 yılı Mayıs ayına kadar Türk mali piyasaları istikrarlı bir şekilde büyümüş ve diğer ülkelere göre pozitif ayrışmıştır. Bu dönemde Türkiye’ye yurt</w:t>
      </w:r>
      <w:r w:rsidR="00994C34">
        <w:rPr>
          <w:rFonts w:ascii="Arial" w:hAnsi="Arial" w:cs="Arial"/>
          <w:sz w:val="24"/>
          <w:szCs w:val="24"/>
        </w:rPr>
        <w:t xml:space="preserve"> </w:t>
      </w:r>
      <w:r w:rsidRPr="008E71EA">
        <w:rPr>
          <w:rFonts w:ascii="Arial" w:hAnsi="Arial" w:cs="Arial"/>
          <w:sz w:val="24"/>
          <w:szCs w:val="24"/>
        </w:rPr>
        <w:t xml:space="preserve">dışı yerleşiklerce </w:t>
      </w:r>
      <w:proofErr w:type="gramStart"/>
      <w:r w:rsidRPr="008E71EA">
        <w:rPr>
          <w:rFonts w:ascii="Arial" w:hAnsi="Arial" w:cs="Arial"/>
          <w:sz w:val="24"/>
          <w:szCs w:val="24"/>
        </w:rPr>
        <w:t>portföy</w:t>
      </w:r>
      <w:proofErr w:type="gramEnd"/>
      <w:r w:rsidRPr="008E71EA">
        <w:rPr>
          <w:rFonts w:ascii="Arial" w:hAnsi="Arial" w:cs="Arial"/>
          <w:sz w:val="24"/>
          <w:szCs w:val="24"/>
        </w:rPr>
        <w:t xml:space="preserve"> girişi artmıştır.</w:t>
      </w:r>
    </w:p>
    <w:p w:rsidR="00EC212B" w:rsidRDefault="00EC212B"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79148D">
        <w:rPr>
          <w:rFonts w:ascii="Arial" w:hAnsi="Arial" w:cs="Arial"/>
          <w:sz w:val="24"/>
          <w:szCs w:val="24"/>
        </w:rPr>
        <w:t xml:space="preserve">2013 yılı Mayıs ayından itibaren </w:t>
      </w:r>
      <w:r w:rsidRPr="008E71EA">
        <w:rPr>
          <w:rFonts w:ascii="Arial" w:hAnsi="Arial" w:cs="Arial"/>
          <w:sz w:val="24"/>
          <w:szCs w:val="24"/>
        </w:rPr>
        <w:t>ABD Merkez Bankasının, parasal genişleme</w:t>
      </w:r>
      <w:r>
        <w:rPr>
          <w:rFonts w:ascii="Arial" w:hAnsi="Arial" w:cs="Arial"/>
          <w:sz w:val="24"/>
          <w:szCs w:val="24"/>
        </w:rPr>
        <w:t>yle piyasaya verilen likiditeyi azaltabileceğine</w:t>
      </w:r>
      <w:r w:rsidRPr="008E71EA">
        <w:rPr>
          <w:rFonts w:ascii="Arial" w:hAnsi="Arial" w:cs="Arial"/>
          <w:sz w:val="24"/>
          <w:szCs w:val="24"/>
        </w:rPr>
        <w:t xml:space="preserve"> dair açıklamaları</w:t>
      </w:r>
      <w:r>
        <w:rPr>
          <w:rFonts w:ascii="Arial" w:hAnsi="Arial" w:cs="Arial"/>
          <w:sz w:val="24"/>
          <w:szCs w:val="24"/>
        </w:rPr>
        <w:t>nın k</w:t>
      </w:r>
      <w:r w:rsidRPr="0079148D">
        <w:rPr>
          <w:rFonts w:ascii="Arial" w:hAnsi="Arial" w:cs="Arial"/>
          <w:sz w:val="24"/>
          <w:szCs w:val="24"/>
        </w:rPr>
        <w:t>üresel ekonomideki belirsizlikleri art</w:t>
      </w:r>
      <w:r>
        <w:rPr>
          <w:rFonts w:ascii="Arial" w:hAnsi="Arial" w:cs="Arial"/>
          <w:sz w:val="24"/>
          <w:szCs w:val="24"/>
        </w:rPr>
        <w:t>ır</w:t>
      </w:r>
      <w:r w:rsidRPr="0079148D">
        <w:rPr>
          <w:rFonts w:ascii="Arial" w:hAnsi="Arial" w:cs="Arial"/>
          <w:sz w:val="24"/>
          <w:szCs w:val="24"/>
        </w:rPr>
        <w:t>ması sonucunda gelişmekte olan ülkelere yönelik sermaye akımlarında dalgalanmalar yaşanmaya başlamıştır. Sermaye akımlarında yaş</w:t>
      </w:r>
      <w:r>
        <w:rPr>
          <w:rFonts w:ascii="Arial" w:hAnsi="Arial" w:cs="Arial"/>
          <w:sz w:val="24"/>
          <w:szCs w:val="24"/>
        </w:rPr>
        <w:t xml:space="preserve">anan bu dalgalanmalar sonucunda, </w:t>
      </w:r>
      <w:r w:rsidRPr="0079148D">
        <w:rPr>
          <w:rFonts w:ascii="Arial" w:hAnsi="Arial" w:cs="Arial"/>
          <w:sz w:val="24"/>
          <w:szCs w:val="24"/>
        </w:rPr>
        <w:t>gelişmekte olan ülkeler</w:t>
      </w:r>
      <w:r>
        <w:rPr>
          <w:rFonts w:ascii="Arial" w:hAnsi="Arial" w:cs="Arial"/>
          <w:sz w:val="24"/>
          <w:szCs w:val="24"/>
        </w:rPr>
        <w:t>in</w:t>
      </w:r>
      <w:r w:rsidRPr="0079148D">
        <w:rPr>
          <w:rFonts w:ascii="Arial" w:hAnsi="Arial" w:cs="Arial"/>
          <w:sz w:val="24"/>
          <w:szCs w:val="24"/>
        </w:rPr>
        <w:t xml:space="preserve"> </w:t>
      </w:r>
      <w:r>
        <w:rPr>
          <w:rFonts w:ascii="Arial" w:hAnsi="Arial" w:cs="Arial"/>
          <w:sz w:val="24"/>
          <w:szCs w:val="24"/>
        </w:rPr>
        <w:t>çoğunda gözlendiği gibi, Türk Lirasının oynaklığı artmış ve</w:t>
      </w:r>
      <w:r w:rsidRPr="0079148D">
        <w:rPr>
          <w:rFonts w:ascii="Arial" w:hAnsi="Arial" w:cs="Arial"/>
          <w:sz w:val="24"/>
          <w:szCs w:val="24"/>
        </w:rPr>
        <w:t xml:space="preserve"> piyasa faiz oranları </w:t>
      </w:r>
      <w:r>
        <w:rPr>
          <w:rFonts w:ascii="Arial" w:hAnsi="Arial" w:cs="Arial"/>
          <w:sz w:val="24"/>
          <w:szCs w:val="24"/>
        </w:rPr>
        <w:t>yükselmiştir.</w:t>
      </w:r>
      <w:r w:rsidRPr="0079148D">
        <w:rPr>
          <w:rFonts w:ascii="Arial" w:hAnsi="Arial" w:cs="Arial"/>
          <w:sz w:val="24"/>
          <w:szCs w:val="24"/>
        </w:rPr>
        <w:t xml:space="preserve"> Küresel ekonomide yaşanan bu gelişmeler sonrası </w:t>
      </w:r>
      <w:r>
        <w:rPr>
          <w:rFonts w:ascii="Arial" w:hAnsi="Arial" w:cs="Arial"/>
          <w:sz w:val="24"/>
          <w:szCs w:val="24"/>
        </w:rPr>
        <w:t xml:space="preserve">Merkez </w:t>
      </w:r>
      <w:r w:rsidRPr="0079148D">
        <w:rPr>
          <w:rFonts w:ascii="Arial" w:hAnsi="Arial" w:cs="Arial"/>
          <w:sz w:val="24"/>
          <w:szCs w:val="24"/>
        </w:rPr>
        <w:t>Banka</w:t>
      </w:r>
      <w:r>
        <w:rPr>
          <w:rFonts w:ascii="Arial" w:hAnsi="Arial" w:cs="Arial"/>
          <w:sz w:val="24"/>
          <w:szCs w:val="24"/>
        </w:rPr>
        <w:t>sı</w:t>
      </w:r>
      <w:r w:rsidRPr="0079148D">
        <w:rPr>
          <w:rFonts w:ascii="Arial" w:hAnsi="Arial" w:cs="Arial"/>
          <w:sz w:val="24"/>
          <w:szCs w:val="24"/>
        </w:rPr>
        <w:t xml:space="preserve">, Mayıs ayı sonlarından itibaren Türk </w:t>
      </w:r>
      <w:r>
        <w:rPr>
          <w:rFonts w:ascii="Arial" w:hAnsi="Arial" w:cs="Arial"/>
          <w:sz w:val="24"/>
          <w:szCs w:val="24"/>
        </w:rPr>
        <w:t>L</w:t>
      </w:r>
      <w:r w:rsidRPr="0079148D">
        <w:rPr>
          <w:rFonts w:ascii="Arial" w:hAnsi="Arial" w:cs="Arial"/>
          <w:sz w:val="24"/>
          <w:szCs w:val="24"/>
        </w:rPr>
        <w:t xml:space="preserve">irasında yaşanan dalgalanmaları sınırlamayı, Türk </w:t>
      </w:r>
      <w:r>
        <w:rPr>
          <w:rFonts w:ascii="Arial" w:hAnsi="Arial" w:cs="Arial"/>
          <w:sz w:val="24"/>
          <w:szCs w:val="24"/>
        </w:rPr>
        <w:t>L</w:t>
      </w:r>
      <w:r w:rsidRPr="0079148D">
        <w:rPr>
          <w:rFonts w:ascii="Arial" w:hAnsi="Arial" w:cs="Arial"/>
          <w:sz w:val="24"/>
          <w:szCs w:val="24"/>
        </w:rPr>
        <w:t xml:space="preserve">irasına yönelik olası </w:t>
      </w:r>
      <w:proofErr w:type="gramStart"/>
      <w:r w:rsidRPr="0079148D">
        <w:rPr>
          <w:rFonts w:ascii="Arial" w:hAnsi="Arial" w:cs="Arial"/>
          <w:sz w:val="24"/>
          <w:szCs w:val="24"/>
        </w:rPr>
        <w:t>spekülasyonları</w:t>
      </w:r>
      <w:proofErr w:type="gramEnd"/>
      <w:r w:rsidRPr="0079148D">
        <w:rPr>
          <w:rFonts w:ascii="Arial" w:hAnsi="Arial" w:cs="Arial"/>
          <w:sz w:val="24"/>
          <w:szCs w:val="24"/>
        </w:rPr>
        <w:t xml:space="preserve"> engellemeyi ve enflasyona ilişkin beklentilerdeki bozulmayı azaltmayı amaçlayan politikalar uygulamaya başlamıştır. Bu doğrultuda Banka, faiz koridorunun üst sınırı</w:t>
      </w:r>
      <w:r>
        <w:rPr>
          <w:rFonts w:ascii="Arial" w:hAnsi="Arial" w:cs="Arial"/>
          <w:sz w:val="24"/>
          <w:szCs w:val="24"/>
        </w:rPr>
        <w:t xml:space="preserve">nı artırıp </w:t>
      </w:r>
      <w:r w:rsidRPr="0079148D">
        <w:rPr>
          <w:rFonts w:ascii="Arial" w:hAnsi="Arial" w:cs="Arial"/>
          <w:sz w:val="24"/>
          <w:szCs w:val="24"/>
        </w:rPr>
        <w:t>ek parasal sıkılaştırma uygulamaları</w:t>
      </w:r>
      <w:r>
        <w:rPr>
          <w:rFonts w:ascii="Arial" w:hAnsi="Arial" w:cs="Arial"/>
          <w:sz w:val="24"/>
          <w:szCs w:val="24"/>
        </w:rPr>
        <w:t>na daha sık başvurarak</w:t>
      </w:r>
      <w:r w:rsidRPr="0079148D">
        <w:rPr>
          <w:rFonts w:ascii="Arial" w:hAnsi="Arial" w:cs="Arial"/>
          <w:sz w:val="24"/>
          <w:szCs w:val="24"/>
        </w:rPr>
        <w:t xml:space="preserve"> piyasaya sağladığı likiditenin maliyetini görece artırmıştır. </w:t>
      </w:r>
      <w:r>
        <w:rPr>
          <w:rFonts w:ascii="Arial" w:hAnsi="Arial" w:cs="Arial"/>
          <w:sz w:val="24"/>
          <w:szCs w:val="24"/>
        </w:rPr>
        <w:t>Bunun yanı sıra,</w:t>
      </w:r>
      <w:r w:rsidRPr="0079148D">
        <w:rPr>
          <w:rFonts w:ascii="Arial" w:hAnsi="Arial" w:cs="Arial"/>
          <w:sz w:val="24"/>
          <w:szCs w:val="24"/>
        </w:rPr>
        <w:t xml:space="preserve"> </w:t>
      </w:r>
      <w:r>
        <w:rPr>
          <w:rFonts w:ascii="Arial" w:hAnsi="Arial" w:cs="Arial"/>
          <w:sz w:val="24"/>
          <w:szCs w:val="24"/>
        </w:rPr>
        <w:t>Banka</w:t>
      </w:r>
      <w:r w:rsidRPr="0079148D">
        <w:rPr>
          <w:rFonts w:ascii="Arial" w:hAnsi="Arial" w:cs="Arial"/>
          <w:sz w:val="24"/>
          <w:szCs w:val="24"/>
        </w:rPr>
        <w:t xml:space="preserve"> </w:t>
      </w:r>
      <w:r>
        <w:rPr>
          <w:rFonts w:ascii="Arial" w:hAnsi="Arial" w:cs="Arial"/>
          <w:sz w:val="24"/>
          <w:szCs w:val="24"/>
        </w:rPr>
        <w:t>piyasa ihtiyaçlarını gözeterek</w:t>
      </w:r>
      <w:r w:rsidRPr="0079148D">
        <w:rPr>
          <w:rFonts w:ascii="Arial" w:hAnsi="Arial" w:cs="Arial"/>
          <w:sz w:val="24"/>
          <w:szCs w:val="24"/>
        </w:rPr>
        <w:t xml:space="preserve"> </w:t>
      </w:r>
      <w:r>
        <w:rPr>
          <w:rFonts w:ascii="Arial" w:hAnsi="Arial" w:cs="Arial"/>
          <w:sz w:val="24"/>
          <w:szCs w:val="24"/>
        </w:rPr>
        <w:t>Türk Lirasındaki oynaklığı azaltma amacıyla</w:t>
      </w:r>
      <w:r w:rsidRPr="0079148D">
        <w:rPr>
          <w:rFonts w:ascii="Arial" w:hAnsi="Arial" w:cs="Arial"/>
          <w:sz w:val="24"/>
          <w:szCs w:val="24"/>
        </w:rPr>
        <w:t xml:space="preserve"> </w:t>
      </w:r>
      <w:r>
        <w:rPr>
          <w:rFonts w:ascii="Arial" w:hAnsi="Arial" w:cs="Arial"/>
          <w:sz w:val="24"/>
          <w:szCs w:val="24"/>
        </w:rPr>
        <w:t xml:space="preserve">çeşitli </w:t>
      </w:r>
      <w:r w:rsidRPr="0079148D">
        <w:rPr>
          <w:rFonts w:ascii="Arial" w:hAnsi="Arial" w:cs="Arial"/>
          <w:sz w:val="24"/>
          <w:szCs w:val="24"/>
        </w:rPr>
        <w:t>tarihlerde döviz satım ihaleleri gerçekleştir</w:t>
      </w:r>
      <w:r>
        <w:rPr>
          <w:rFonts w:ascii="Arial" w:hAnsi="Arial" w:cs="Arial"/>
          <w:sz w:val="24"/>
          <w:szCs w:val="24"/>
        </w:rPr>
        <w:t>miştir.</w:t>
      </w:r>
    </w:p>
    <w:p w:rsidR="00AE6E3B" w:rsidRPr="00706674" w:rsidRDefault="00AE6E3B" w:rsidP="00D71AD9">
      <w:pPr>
        <w:pStyle w:val="ListeParagraf"/>
        <w:numPr>
          <w:ilvl w:val="0"/>
          <w:numId w:val="10"/>
        </w:numPr>
        <w:spacing w:after="120" w:line="240" w:lineRule="auto"/>
        <w:ind w:left="0" w:firstLine="0"/>
        <w:contextualSpacing w:val="0"/>
        <w:jc w:val="both"/>
        <w:rPr>
          <w:rFonts w:ascii="Arial" w:hAnsi="Arial" w:cs="Arial"/>
          <w:sz w:val="24"/>
          <w:szCs w:val="24"/>
        </w:rPr>
      </w:pPr>
      <w:proofErr w:type="spellStart"/>
      <w:r w:rsidRPr="00706674">
        <w:rPr>
          <w:rFonts w:ascii="Arial" w:hAnsi="Arial" w:cs="Arial"/>
          <w:sz w:val="24"/>
          <w:szCs w:val="24"/>
        </w:rPr>
        <w:t>GSYH’ya</w:t>
      </w:r>
      <w:proofErr w:type="spellEnd"/>
      <w:r w:rsidRPr="00706674">
        <w:rPr>
          <w:rFonts w:ascii="Arial" w:hAnsi="Arial" w:cs="Arial"/>
          <w:sz w:val="24"/>
          <w:szCs w:val="24"/>
        </w:rPr>
        <w:t xml:space="preserve"> oran olarak, </w:t>
      </w:r>
      <w:r w:rsidR="00706674" w:rsidRPr="00706674">
        <w:rPr>
          <w:rFonts w:ascii="Arial" w:hAnsi="Arial" w:cs="Arial"/>
          <w:sz w:val="24"/>
          <w:szCs w:val="24"/>
        </w:rPr>
        <w:t>f</w:t>
      </w:r>
      <w:r w:rsidRPr="00706674">
        <w:rPr>
          <w:rFonts w:ascii="Arial" w:hAnsi="Arial" w:cs="Arial"/>
          <w:sz w:val="24"/>
          <w:szCs w:val="24"/>
        </w:rPr>
        <w:t xml:space="preserve">aiz giderleri </w:t>
      </w:r>
      <w:r w:rsidR="00706674">
        <w:rPr>
          <w:rFonts w:ascii="Arial" w:hAnsi="Arial" w:cs="Arial"/>
          <w:sz w:val="24"/>
          <w:szCs w:val="24"/>
        </w:rPr>
        <w:t xml:space="preserve">hariç genel devlet </w:t>
      </w:r>
      <w:r w:rsidR="009D4581">
        <w:rPr>
          <w:rFonts w:ascii="Arial" w:hAnsi="Arial" w:cs="Arial"/>
          <w:sz w:val="24"/>
          <w:szCs w:val="24"/>
        </w:rPr>
        <w:t xml:space="preserve">harcamaları </w:t>
      </w:r>
      <w:r w:rsidR="00706674">
        <w:rPr>
          <w:rFonts w:ascii="Arial" w:hAnsi="Arial" w:cs="Arial"/>
          <w:sz w:val="24"/>
          <w:szCs w:val="24"/>
        </w:rPr>
        <w:t>ile ö</w:t>
      </w:r>
      <w:r w:rsidRPr="00706674">
        <w:rPr>
          <w:rFonts w:ascii="Arial" w:hAnsi="Arial" w:cs="Arial"/>
          <w:sz w:val="24"/>
          <w:szCs w:val="24"/>
        </w:rPr>
        <w:t>zelleştirme gelirleri hariç genel devlet gelirleri</w:t>
      </w:r>
      <w:r w:rsidR="00706674">
        <w:rPr>
          <w:rFonts w:ascii="Arial" w:hAnsi="Arial" w:cs="Arial"/>
          <w:sz w:val="24"/>
          <w:szCs w:val="24"/>
        </w:rPr>
        <w:t xml:space="preserve"> </w:t>
      </w:r>
      <w:r w:rsidRPr="00706674">
        <w:rPr>
          <w:rFonts w:ascii="Arial" w:hAnsi="Arial" w:cs="Arial"/>
          <w:sz w:val="24"/>
          <w:szCs w:val="24"/>
        </w:rPr>
        <w:t xml:space="preserve">son </w:t>
      </w:r>
      <w:r w:rsidR="00706674">
        <w:rPr>
          <w:rFonts w:ascii="Arial" w:hAnsi="Arial" w:cs="Arial"/>
          <w:sz w:val="24"/>
          <w:szCs w:val="24"/>
        </w:rPr>
        <w:t xml:space="preserve">yıllardaki artış eğilimini </w:t>
      </w:r>
      <w:r w:rsidRPr="00706674">
        <w:rPr>
          <w:rFonts w:ascii="Arial" w:hAnsi="Arial" w:cs="Arial"/>
          <w:sz w:val="24"/>
          <w:szCs w:val="24"/>
        </w:rPr>
        <w:t>2012 ve 2013 yıllarında da devam et</w:t>
      </w:r>
      <w:r w:rsidR="00706674">
        <w:rPr>
          <w:rFonts w:ascii="Arial" w:hAnsi="Arial" w:cs="Arial"/>
          <w:sz w:val="24"/>
          <w:szCs w:val="24"/>
        </w:rPr>
        <w:t>tir</w:t>
      </w:r>
      <w:r w:rsidRPr="00706674">
        <w:rPr>
          <w:rFonts w:ascii="Arial" w:hAnsi="Arial" w:cs="Arial"/>
          <w:sz w:val="24"/>
          <w:szCs w:val="24"/>
        </w:rPr>
        <w:t>miştir.</w:t>
      </w:r>
    </w:p>
    <w:p w:rsidR="00302B98" w:rsidRPr="00A236E5" w:rsidRDefault="0094601D"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A236E5">
        <w:rPr>
          <w:rFonts w:ascii="Arial" w:hAnsi="Arial" w:cs="Arial"/>
          <w:sz w:val="24"/>
          <w:szCs w:val="24"/>
        </w:rPr>
        <w:t xml:space="preserve">Genel devlet açığının </w:t>
      </w:r>
      <w:proofErr w:type="spellStart"/>
      <w:r w:rsidRPr="00A236E5">
        <w:rPr>
          <w:rFonts w:ascii="Arial" w:hAnsi="Arial" w:cs="Arial"/>
          <w:sz w:val="24"/>
          <w:szCs w:val="24"/>
        </w:rPr>
        <w:t>GSYH’ya</w:t>
      </w:r>
      <w:proofErr w:type="spellEnd"/>
      <w:r w:rsidRPr="00A236E5">
        <w:rPr>
          <w:rFonts w:ascii="Arial" w:hAnsi="Arial" w:cs="Arial"/>
          <w:sz w:val="24"/>
          <w:szCs w:val="24"/>
        </w:rPr>
        <w:t xml:space="preserve"> oranı </w:t>
      </w:r>
      <w:r w:rsidR="00302B98" w:rsidRPr="00A236E5">
        <w:rPr>
          <w:rFonts w:ascii="Arial" w:hAnsi="Arial" w:cs="Arial"/>
          <w:sz w:val="24"/>
          <w:szCs w:val="24"/>
        </w:rPr>
        <w:t xml:space="preserve">2012 yılında bir önceki yıla göre </w:t>
      </w:r>
      <w:r w:rsidRPr="00A236E5">
        <w:rPr>
          <w:rFonts w:ascii="Arial" w:hAnsi="Arial" w:cs="Arial"/>
          <w:sz w:val="24"/>
          <w:szCs w:val="24"/>
        </w:rPr>
        <w:t xml:space="preserve">yüzde </w:t>
      </w:r>
      <w:r w:rsidR="00302B98" w:rsidRPr="00A236E5">
        <w:rPr>
          <w:rFonts w:ascii="Arial" w:hAnsi="Arial" w:cs="Arial"/>
          <w:sz w:val="24"/>
          <w:szCs w:val="24"/>
        </w:rPr>
        <w:t>0,</w:t>
      </w:r>
      <w:r w:rsidRPr="00A236E5">
        <w:rPr>
          <w:rFonts w:ascii="Arial" w:hAnsi="Arial" w:cs="Arial"/>
          <w:sz w:val="24"/>
          <w:szCs w:val="24"/>
        </w:rPr>
        <w:t>7</w:t>
      </w:r>
      <w:r w:rsidR="00302B98" w:rsidRPr="00A236E5">
        <w:rPr>
          <w:rFonts w:ascii="Arial" w:hAnsi="Arial" w:cs="Arial"/>
          <w:sz w:val="24"/>
          <w:szCs w:val="24"/>
        </w:rPr>
        <w:t xml:space="preserve"> puan artış göstererek yüzde 1 düzeyinde gerçekleşmiştir. Söz konusu artış</w:t>
      </w:r>
      <w:r w:rsidRPr="00A236E5">
        <w:rPr>
          <w:rFonts w:ascii="Arial" w:hAnsi="Arial" w:cs="Arial"/>
          <w:sz w:val="24"/>
          <w:szCs w:val="24"/>
        </w:rPr>
        <w:t>ta</w:t>
      </w:r>
      <w:r w:rsidR="00302B98" w:rsidRPr="00A236E5">
        <w:rPr>
          <w:rFonts w:ascii="Arial" w:hAnsi="Arial" w:cs="Arial"/>
          <w:sz w:val="24"/>
          <w:szCs w:val="24"/>
        </w:rPr>
        <w:t xml:space="preserve">, genel devlet gelirlerinin </w:t>
      </w:r>
      <w:proofErr w:type="spellStart"/>
      <w:r w:rsidR="00302B98" w:rsidRPr="00A236E5">
        <w:rPr>
          <w:rFonts w:ascii="Arial" w:hAnsi="Arial" w:cs="Arial"/>
          <w:sz w:val="24"/>
          <w:szCs w:val="24"/>
        </w:rPr>
        <w:t>GSYH’ya</w:t>
      </w:r>
      <w:proofErr w:type="spellEnd"/>
      <w:r w:rsidR="00302B98" w:rsidRPr="00A236E5">
        <w:rPr>
          <w:rFonts w:ascii="Arial" w:hAnsi="Arial" w:cs="Arial"/>
          <w:sz w:val="24"/>
          <w:szCs w:val="24"/>
        </w:rPr>
        <w:t xml:space="preserve"> oranındaki 1,4 puanlık artışa rağmen, özellikle cari nitelik</w:t>
      </w:r>
      <w:r w:rsidR="00A46F43" w:rsidRPr="00A236E5">
        <w:rPr>
          <w:rFonts w:ascii="Arial" w:hAnsi="Arial" w:cs="Arial"/>
          <w:sz w:val="24"/>
          <w:szCs w:val="24"/>
        </w:rPr>
        <w:t>li</w:t>
      </w:r>
      <w:r w:rsidR="00302B98" w:rsidRPr="00A236E5">
        <w:rPr>
          <w:rFonts w:ascii="Arial" w:hAnsi="Arial" w:cs="Arial"/>
          <w:sz w:val="24"/>
          <w:szCs w:val="24"/>
        </w:rPr>
        <w:t xml:space="preserve"> harcama artışlarından ötürü toplam genel devlet giderlerinin </w:t>
      </w:r>
      <w:proofErr w:type="spellStart"/>
      <w:r w:rsidR="00302B98" w:rsidRPr="00A236E5">
        <w:rPr>
          <w:rFonts w:ascii="Arial" w:hAnsi="Arial" w:cs="Arial"/>
          <w:sz w:val="24"/>
          <w:szCs w:val="24"/>
        </w:rPr>
        <w:t>GSYH’ya</w:t>
      </w:r>
      <w:proofErr w:type="spellEnd"/>
      <w:r w:rsidR="00302B98" w:rsidRPr="00A236E5">
        <w:rPr>
          <w:rFonts w:ascii="Arial" w:hAnsi="Arial" w:cs="Arial"/>
          <w:sz w:val="24"/>
          <w:szCs w:val="24"/>
        </w:rPr>
        <w:t xml:space="preserve"> oranının </w:t>
      </w:r>
      <w:r w:rsidR="003D6FBB" w:rsidRPr="00A236E5">
        <w:rPr>
          <w:rFonts w:ascii="Arial" w:hAnsi="Arial" w:cs="Arial"/>
          <w:sz w:val="24"/>
          <w:szCs w:val="24"/>
        </w:rPr>
        <w:t>2,1</w:t>
      </w:r>
      <w:r w:rsidR="00302B98" w:rsidRPr="00A236E5">
        <w:rPr>
          <w:rFonts w:ascii="Arial" w:hAnsi="Arial" w:cs="Arial"/>
          <w:sz w:val="24"/>
          <w:szCs w:val="24"/>
        </w:rPr>
        <w:t xml:space="preserve"> puan artması belirleyici olmuştur. </w:t>
      </w:r>
      <w:r w:rsidRPr="00A236E5">
        <w:rPr>
          <w:rFonts w:ascii="Arial" w:hAnsi="Arial" w:cs="Arial"/>
          <w:sz w:val="24"/>
          <w:szCs w:val="24"/>
        </w:rPr>
        <w:t>C</w:t>
      </w:r>
      <w:r w:rsidR="00302B98" w:rsidRPr="00A236E5">
        <w:rPr>
          <w:rFonts w:ascii="Arial" w:hAnsi="Arial" w:cs="Arial"/>
          <w:sz w:val="24"/>
          <w:szCs w:val="24"/>
        </w:rPr>
        <w:t>ari nitelikli harcama</w:t>
      </w:r>
      <w:r w:rsidRPr="00A236E5">
        <w:rPr>
          <w:rFonts w:ascii="Arial" w:hAnsi="Arial" w:cs="Arial"/>
          <w:sz w:val="24"/>
          <w:szCs w:val="24"/>
        </w:rPr>
        <w:t>lardaki bu</w:t>
      </w:r>
      <w:r w:rsidR="00302B98" w:rsidRPr="00A236E5">
        <w:rPr>
          <w:rFonts w:ascii="Arial" w:hAnsi="Arial" w:cs="Arial"/>
          <w:sz w:val="24"/>
          <w:szCs w:val="24"/>
        </w:rPr>
        <w:t xml:space="preserve"> artışın temel kaynağı merkezi yönetim bütçesi</w:t>
      </w:r>
      <w:r w:rsidR="009D4581" w:rsidRPr="00A236E5">
        <w:rPr>
          <w:rFonts w:ascii="Arial" w:hAnsi="Arial" w:cs="Arial"/>
          <w:sz w:val="24"/>
          <w:szCs w:val="24"/>
        </w:rPr>
        <w:t>dir.</w:t>
      </w:r>
      <w:r w:rsidR="00302B98" w:rsidRPr="00A236E5">
        <w:rPr>
          <w:rFonts w:ascii="Arial" w:hAnsi="Arial" w:cs="Arial"/>
          <w:sz w:val="24"/>
          <w:szCs w:val="24"/>
        </w:rPr>
        <w:t xml:space="preserve"> 2012 yılında, merkezi yönetim bütçesi toplam personel gideri</w:t>
      </w:r>
      <w:r w:rsidR="003D6FBB" w:rsidRPr="00A236E5">
        <w:rPr>
          <w:rFonts w:ascii="Arial" w:hAnsi="Arial" w:cs="Arial"/>
          <w:sz w:val="24"/>
          <w:szCs w:val="24"/>
        </w:rPr>
        <w:t>,</w:t>
      </w:r>
      <w:r w:rsidR="00302B98" w:rsidRPr="00A236E5">
        <w:rPr>
          <w:rFonts w:ascii="Arial" w:hAnsi="Arial" w:cs="Arial"/>
          <w:sz w:val="24"/>
          <w:szCs w:val="24"/>
        </w:rPr>
        <w:t xml:space="preserve"> bir önceki yıla göre 0,5 puan, cari transferler ise </w:t>
      </w:r>
      <w:proofErr w:type="spellStart"/>
      <w:r w:rsidR="00302B98" w:rsidRPr="00A236E5">
        <w:rPr>
          <w:rFonts w:ascii="Arial" w:hAnsi="Arial" w:cs="Arial"/>
          <w:sz w:val="24"/>
          <w:szCs w:val="24"/>
        </w:rPr>
        <w:t>hanehalkına</w:t>
      </w:r>
      <w:proofErr w:type="spellEnd"/>
      <w:r w:rsidR="00302B98" w:rsidRPr="00A236E5">
        <w:rPr>
          <w:rFonts w:ascii="Arial" w:hAnsi="Arial" w:cs="Arial"/>
          <w:sz w:val="24"/>
          <w:szCs w:val="24"/>
        </w:rPr>
        <w:t xml:space="preserve"> yönelik sosyal nitelikli transferler</w:t>
      </w:r>
      <w:r w:rsidR="003D6FBB" w:rsidRPr="00A236E5">
        <w:rPr>
          <w:rFonts w:ascii="Arial" w:hAnsi="Arial" w:cs="Arial"/>
          <w:sz w:val="24"/>
          <w:szCs w:val="24"/>
        </w:rPr>
        <w:t xml:space="preserve"> ve sosyal güvenlik kurumlarına</w:t>
      </w:r>
      <w:r w:rsidR="00302B98" w:rsidRPr="00A236E5">
        <w:rPr>
          <w:rFonts w:ascii="Arial" w:hAnsi="Arial" w:cs="Arial"/>
          <w:sz w:val="24"/>
          <w:szCs w:val="24"/>
        </w:rPr>
        <w:t xml:space="preserve"> </w:t>
      </w:r>
      <w:r w:rsidR="003D6FBB" w:rsidRPr="00A236E5">
        <w:rPr>
          <w:rFonts w:ascii="Arial" w:hAnsi="Arial" w:cs="Arial"/>
          <w:sz w:val="24"/>
          <w:szCs w:val="24"/>
        </w:rPr>
        <w:t xml:space="preserve">yapılan transferlerdeki </w:t>
      </w:r>
      <w:r w:rsidR="00A46F43" w:rsidRPr="00A236E5">
        <w:rPr>
          <w:rFonts w:ascii="Arial" w:hAnsi="Arial" w:cs="Arial"/>
          <w:sz w:val="24"/>
          <w:szCs w:val="24"/>
        </w:rPr>
        <w:t>yükselmeden</w:t>
      </w:r>
      <w:r w:rsidR="00302B98" w:rsidRPr="00A236E5">
        <w:rPr>
          <w:rFonts w:ascii="Arial" w:hAnsi="Arial" w:cs="Arial"/>
          <w:sz w:val="24"/>
          <w:szCs w:val="24"/>
        </w:rPr>
        <w:t xml:space="preserve"> </w:t>
      </w:r>
      <w:r w:rsidR="003D6FBB" w:rsidRPr="00A236E5">
        <w:rPr>
          <w:rFonts w:ascii="Arial" w:hAnsi="Arial" w:cs="Arial"/>
          <w:sz w:val="24"/>
          <w:szCs w:val="24"/>
        </w:rPr>
        <w:t>dolayı</w:t>
      </w:r>
      <w:r w:rsidR="00302B98" w:rsidRPr="00A236E5">
        <w:rPr>
          <w:rFonts w:ascii="Arial" w:hAnsi="Arial" w:cs="Arial"/>
          <w:sz w:val="24"/>
          <w:szCs w:val="24"/>
        </w:rPr>
        <w:t xml:space="preserve"> 0,6 puan artış göstermiştir. Genel devlet gelirleri</w:t>
      </w:r>
      <w:r w:rsidR="00A46F43" w:rsidRPr="00A236E5">
        <w:rPr>
          <w:rFonts w:ascii="Arial" w:hAnsi="Arial" w:cs="Arial"/>
          <w:sz w:val="24"/>
          <w:szCs w:val="24"/>
        </w:rPr>
        <w:t>ndeki</w:t>
      </w:r>
      <w:r w:rsidR="00302B98" w:rsidRPr="00A236E5">
        <w:rPr>
          <w:rFonts w:ascii="Arial" w:hAnsi="Arial" w:cs="Arial"/>
          <w:sz w:val="24"/>
          <w:szCs w:val="24"/>
        </w:rPr>
        <w:t xml:space="preserve"> artışın temel belirleyicisi ise vergi </w:t>
      </w:r>
      <w:r w:rsidR="009D4581" w:rsidRPr="00A236E5">
        <w:rPr>
          <w:rFonts w:ascii="Arial" w:hAnsi="Arial" w:cs="Arial"/>
          <w:sz w:val="24"/>
          <w:szCs w:val="24"/>
        </w:rPr>
        <w:t xml:space="preserve">dışındaki </w:t>
      </w:r>
      <w:r w:rsidR="00302B98" w:rsidRPr="00A236E5">
        <w:rPr>
          <w:rFonts w:ascii="Arial" w:hAnsi="Arial" w:cs="Arial"/>
          <w:sz w:val="24"/>
          <w:szCs w:val="24"/>
        </w:rPr>
        <w:t>gelir unsurları olmuştur.</w:t>
      </w:r>
    </w:p>
    <w:p w:rsidR="00302B98" w:rsidRPr="00A236E5" w:rsidRDefault="00AE6E3B"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A236E5">
        <w:rPr>
          <w:rFonts w:ascii="Arial" w:hAnsi="Arial" w:cs="Arial"/>
          <w:sz w:val="24"/>
          <w:szCs w:val="24"/>
        </w:rPr>
        <w:t>2012 yılında f</w:t>
      </w:r>
      <w:r w:rsidR="00302B98" w:rsidRPr="00A236E5">
        <w:rPr>
          <w:rFonts w:ascii="Arial" w:hAnsi="Arial" w:cs="Arial"/>
          <w:sz w:val="24"/>
          <w:szCs w:val="24"/>
        </w:rPr>
        <w:t xml:space="preserve">aiz </w:t>
      </w:r>
      <w:r w:rsidR="004C1167" w:rsidRPr="00A236E5">
        <w:rPr>
          <w:rFonts w:ascii="Arial" w:hAnsi="Arial" w:cs="Arial"/>
          <w:sz w:val="24"/>
          <w:szCs w:val="24"/>
        </w:rPr>
        <w:t xml:space="preserve">harcamaları </w:t>
      </w:r>
      <w:r w:rsidR="00302B98" w:rsidRPr="00A236E5">
        <w:rPr>
          <w:rFonts w:ascii="Arial" w:hAnsi="Arial" w:cs="Arial"/>
          <w:sz w:val="24"/>
          <w:szCs w:val="24"/>
        </w:rPr>
        <w:t>ve özelleştirme gelirleri hariç</w:t>
      </w:r>
      <w:r w:rsidR="004C1167" w:rsidRPr="00A236E5">
        <w:rPr>
          <w:rFonts w:ascii="Arial" w:hAnsi="Arial" w:cs="Arial"/>
          <w:sz w:val="24"/>
          <w:szCs w:val="24"/>
        </w:rPr>
        <w:t xml:space="preserve"> genel devlet</w:t>
      </w:r>
      <w:r w:rsidR="00302B98" w:rsidRPr="00A236E5">
        <w:rPr>
          <w:rFonts w:ascii="Arial" w:hAnsi="Arial" w:cs="Arial"/>
          <w:sz w:val="24"/>
          <w:szCs w:val="24"/>
        </w:rPr>
        <w:t xml:space="preserve"> fazlasının </w:t>
      </w:r>
      <w:proofErr w:type="spellStart"/>
      <w:r w:rsidR="00302B98" w:rsidRPr="00A236E5">
        <w:rPr>
          <w:rFonts w:ascii="Arial" w:hAnsi="Arial" w:cs="Arial"/>
          <w:sz w:val="24"/>
          <w:szCs w:val="24"/>
        </w:rPr>
        <w:t>GSYH’ya</w:t>
      </w:r>
      <w:proofErr w:type="spellEnd"/>
      <w:r w:rsidR="00302B98" w:rsidRPr="00A236E5">
        <w:rPr>
          <w:rFonts w:ascii="Arial" w:hAnsi="Arial" w:cs="Arial"/>
          <w:sz w:val="24"/>
          <w:szCs w:val="24"/>
        </w:rPr>
        <w:t xml:space="preserve"> oranı yüzde 2</w:t>
      </w:r>
      <w:r w:rsidR="00A46F43" w:rsidRPr="00A236E5">
        <w:rPr>
          <w:rFonts w:ascii="Arial" w:hAnsi="Arial" w:cs="Arial"/>
          <w:sz w:val="24"/>
          <w:szCs w:val="24"/>
        </w:rPr>
        <w:t xml:space="preserve">, program tanımlı genel devlet faiz dışı fazlası ise yüzde </w:t>
      </w:r>
      <w:r w:rsidRPr="00A236E5">
        <w:rPr>
          <w:rFonts w:ascii="Arial" w:hAnsi="Arial" w:cs="Arial"/>
          <w:sz w:val="24"/>
          <w:szCs w:val="24"/>
        </w:rPr>
        <w:t>0,</w:t>
      </w:r>
      <w:r w:rsidR="007F4B1E">
        <w:rPr>
          <w:rFonts w:ascii="Arial" w:hAnsi="Arial" w:cs="Arial"/>
          <w:sz w:val="24"/>
          <w:szCs w:val="24"/>
        </w:rPr>
        <w:t>7</w:t>
      </w:r>
      <w:r w:rsidR="00302B98" w:rsidRPr="00A236E5">
        <w:rPr>
          <w:rFonts w:ascii="Arial" w:hAnsi="Arial" w:cs="Arial"/>
          <w:sz w:val="24"/>
          <w:szCs w:val="24"/>
        </w:rPr>
        <w:t xml:space="preserve"> olarak gerçekleşmiştir. </w:t>
      </w:r>
    </w:p>
    <w:p w:rsidR="00302B98" w:rsidRPr="00A236E5" w:rsidRDefault="00302B98"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A236E5">
        <w:rPr>
          <w:rFonts w:ascii="Arial" w:hAnsi="Arial" w:cs="Arial"/>
          <w:sz w:val="24"/>
          <w:szCs w:val="24"/>
        </w:rPr>
        <w:t xml:space="preserve">2013 yılında genel devlet toplam gelirlerinin </w:t>
      </w:r>
      <w:proofErr w:type="spellStart"/>
      <w:r w:rsidRPr="00A236E5">
        <w:rPr>
          <w:rFonts w:ascii="Arial" w:hAnsi="Arial" w:cs="Arial"/>
          <w:sz w:val="24"/>
          <w:szCs w:val="24"/>
        </w:rPr>
        <w:t>GSYH’ya</w:t>
      </w:r>
      <w:proofErr w:type="spellEnd"/>
      <w:r w:rsidRPr="00A236E5">
        <w:rPr>
          <w:rFonts w:ascii="Arial" w:hAnsi="Arial" w:cs="Arial"/>
          <w:sz w:val="24"/>
          <w:szCs w:val="24"/>
        </w:rPr>
        <w:t xml:space="preserve"> oranının bir önceki yıla göre 1,</w:t>
      </w:r>
      <w:r w:rsidR="009D4581" w:rsidRPr="00A236E5">
        <w:rPr>
          <w:rFonts w:ascii="Arial" w:hAnsi="Arial" w:cs="Arial"/>
          <w:sz w:val="24"/>
          <w:szCs w:val="24"/>
        </w:rPr>
        <w:t>9</w:t>
      </w:r>
      <w:r w:rsidRPr="00A236E5">
        <w:rPr>
          <w:rFonts w:ascii="Arial" w:hAnsi="Arial" w:cs="Arial"/>
          <w:sz w:val="24"/>
          <w:szCs w:val="24"/>
        </w:rPr>
        <w:t xml:space="preserve"> puan artarak yüzde 39,</w:t>
      </w:r>
      <w:r w:rsidR="009D4581" w:rsidRPr="00A236E5">
        <w:rPr>
          <w:rFonts w:ascii="Arial" w:hAnsi="Arial" w:cs="Arial"/>
          <w:sz w:val="24"/>
          <w:szCs w:val="24"/>
        </w:rPr>
        <w:t>7</w:t>
      </w:r>
      <w:r w:rsidRPr="00A236E5">
        <w:rPr>
          <w:rFonts w:ascii="Arial" w:hAnsi="Arial" w:cs="Arial"/>
          <w:sz w:val="24"/>
          <w:szCs w:val="24"/>
        </w:rPr>
        <w:t xml:space="preserve"> düzeyinde gerçekleşmesi beklenmektedir. Genel devlet gelirlerindeki artışta, TEDAŞ ve BOTAŞ’tan geçmiş yıllar vergi borçlarına mahsuben yapılan tahsilatların da etkisiyle dolaylı vergiler ile sosyal güvenlik prim gelirlerindeki artış belirleyici olmaktadır.</w:t>
      </w:r>
    </w:p>
    <w:p w:rsidR="00365635" w:rsidRPr="00A236E5" w:rsidRDefault="00302B98"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A236E5">
        <w:rPr>
          <w:rFonts w:ascii="Arial" w:hAnsi="Arial" w:cs="Arial"/>
          <w:sz w:val="24"/>
          <w:szCs w:val="24"/>
        </w:rPr>
        <w:t xml:space="preserve">Genel devlet harcamalarının </w:t>
      </w:r>
      <w:proofErr w:type="spellStart"/>
      <w:r w:rsidRPr="00A236E5">
        <w:rPr>
          <w:rFonts w:ascii="Arial" w:hAnsi="Arial" w:cs="Arial"/>
          <w:sz w:val="24"/>
          <w:szCs w:val="24"/>
        </w:rPr>
        <w:t>GSYH’ya</w:t>
      </w:r>
      <w:proofErr w:type="spellEnd"/>
      <w:r w:rsidRPr="00A236E5">
        <w:rPr>
          <w:rFonts w:ascii="Arial" w:hAnsi="Arial" w:cs="Arial"/>
          <w:sz w:val="24"/>
          <w:szCs w:val="24"/>
        </w:rPr>
        <w:t xml:space="preserve"> oranının ise 2013 yılında bir önceki yıla kıyasla 1,</w:t>
      </w:r>
      <w:r w:rsidR="009D4581" w:rsidRPr="00A236E5">
        <w:rPr>
          <w:rFonts w:ascii="Arial" w:hAnsi="Arial" w:cs="Arial"/>
          <w:sz w:val="24"/>
          <w:szCs w:val="24"/>
        </w:rPr>
        <w:t>9</w:t>
      </w:r>
      <w:r w:rsidRPr="00A236E5">
        <w:rPr>
          <w:rFonts w:ascii="Arial" w:hAnsi="Arial" w:cs="Arial"/>
          <w:sz w:val="24"/>
          <w:szCs w:val="24"/>
        </w:rPr>
        <w:t xml:space="preserve"> puan artarak yüzde 40,</w:t>
      </w:r>
      <w:r w:rsidR="009D4581" w:rsidRPr="00A236E5">
        <w:rPr>
          <w:rFonts w:ascii="Arial" w:hAnsi="Arial" w:cs="Arial"/>
          <w:sz w:val="24"/>
          <w:szCs w:val="24"/>
        </w:rPr>
        <w:t>8</w:t>
      </w:r>
      <w:r w:rsidRPr="00A236E5">
        <w:rPr>
          <w:rFonts w:ascii="Arial" w:hAnsi="Arial" w:cs="Arial"/>
          <w:sz w:val="24"/>
          <w:szCs w:val="24"/>
        </w:rPr>
        <w:t xml:space="preserve"> düzeyine yükselmesi beklenmektedir. Söz konusu artışın 1,3 puanlık kısmı bir önceki yılda olduğu gibi cari nitelikli harcamalardan kaynaklanmaktadır. 2013 yılında genel devlet yatırım harcamalarının </w:t>
      </w:r>
      <w:proofErr w:type="spellStart"/>
      <w:r w:rsidRPr="00A236E5">
        <w:rPr>
          <w:rFonts w:ascii="Arial" w:hAnsi="Arial" w:cs="Arial"/>
          <w:sz w:val="24"/>
          <w:szCs w:val="24"/>
        </w:rPr>
        <w:t>GSYH’ya</w:t>
      </w:r>
      <w:proofErr w:type="spellEnd"/>
      <w:r w:rsidRPr="00A236E5">
        <w:rPr>
          <w:rFonts w:ascii="Arial" w:hAnsi="Arial" w:cs="Arial"/>
          <w:sz w:val="24"/>
          <w:szCs w:val="24"/>
        </w:rPr>
        <w:t xml:space="preserve"> oranının 0,</w:t>
      </w:r>
      <w:r w:rsidR="001627EB" w:rsidRPr="00A236E5">
        <w:rPr>
          <w:rFonts w:ascii="Arial" w:hAnsi="Arial" w:cs="Arial"/>
          <w:sz w:val="24"/>
          <w:szCs w:val="24"/>
        </w:rPr>
        <w:t>5</w:t>
      </w:r>
      <w:r w:rsidRPr="00A236E5">
        <w:rPr>
          <w:rFonts w:ascii="Arial" w:hAnsi="Arial" w:cs="Arial"/>
          <w:sz w:val="24"/>
          <w:szCs w:val="24"/>
        </w:rPr>
        <w:t xml:space="preserve"> puan art</w:t>
      </w:r>
      <w:r w:rsidR="001627EB" w:rsidRPr="00A236E5">
        <w:rPr>
          <w:rFonts w:ascii="Arial" w:hAnsi="Arial" w:cs="Arial"/>
          <w:sz w:val="24"/>
          <w:szCs w:val="24"/>
        </w:rPr>
        <w:t>ması</w:t>
      </w:r>
      <w:r w:rsidRPr="00A236E5">
        <w:rPr>
          <w:rFonts w:ascii="Arial" w:hAnsi="Arial" w:cs="Arial"/>
          <w:sz w:val="24"/>
          <w:szCs w:val="24"/>
        </w:rPr>
        <w:t xml:space="preserve"> beklenmektedir.</w:t>
      </w:r>
    </w:p>
    <w:p w:rsidR="00302B98" w:rsidRPr="00A236E5" w:rsidRDefault="00302B98"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A236E5">
        <w:rPr>
          <w:rFonts w:ascii="Arial" w:hAnsi="Arial" w:cs="Arial"/>
          <w:sz w:val="24"/>
          <w:szCs w:val="24"/>
        </w:rPr>
        <w:t xml:space="preserve">2013 yılında genel devlet açığının </w:t>
      </w:r>
      <w:proofErr w:type="spellStart"/>
      <w:r w:rsidRPr="00A236E5">
        <w:rPr>
          <w:rFonts w:ascii="Arial" w:hAnsi="Arial" w:cs="Arial"/>
          <w:sz w:val="24"/>
          <w:szCs w:val="24"/>
        </w:rPr>
        <w:t>GSYH’ya</w:t>
      </w:r>
      <w:proofErr w:type="spellEnd"/>
      <w:r w:rsidRPr="00A236E5">
        <w:rPr>
          <w:rFonts w:ascii="Arial" w:hAnsi="Arial" w:cs="Arial"/>
          <w:sz w:val="24"/>
          <w:szCs w:val="24"/>
        </w:rPr>
        <w:t xml:space="preserve"> oranının yüzde 1</w:t>
      </w:r>
      <w:r w:rsidR="00365635" w:rsidRPr="00A236E5">
        <w:rPr>
          <w:rFonts w:ascii="Arial" w:hAnsi="Arial" w:cs="Arial"/>
          <w:sz w:val="24"/>
          <w:szCs w:val="24"/>
        </w:rPr>
        <w:t xml:space="preserve"> olması beklenmektedir. F</w:t>
      </w:r>
      <w:r w:rsidR="004C1167" w:rsidRPr="00A236E5">
        <w:rPr>
          <w:rFonts w:ascii="Arial" w:hAnsi="Arial" w:cs="Arial"/>
          <w:sz w:val="24"/>
          <w:szCs w:val="24"/>
        </w:rPr>
        <w:t xml:space="preserve">aiz harcamaları ve özelleştirme gelirleri hariç genel devlet fazlasının </w:t>
      </w:r>
      <w:r w:rsidRPr="00A236E5">
        <w:rPr>
          <w:rFonts w:ascii="Arial" w:hAnsi="Arial" w:cs="Arial"/>
          <w:sz w:val="24"/>
          <w:szCs w:val="24"/>
        </w:rPr>
        <w:t>yüzde 1,</w:t>
      </w:r>
      <w:r w:rsidR="001627EB" w:rsidRPr="00A236E5">
        <w:rPr>
          <w:rFonts w:ascii="Arial" w:hAnsi="Arial" w:cs="Arial"/>
          <w:sz w:val="24"/>
          <w:szCs w:val="24"/>
        </w:rPr>
        <w:t>7</w:t>
      </w:r>
      <w:r w:rsidR="00365635" w:rsidRPr="00A236E5">
        <w:rPr>
          <w:rFonts w:ascii="Arial" w:hAnsi="Arial" w:cs="Arial"/>
          <w:sz w:val="24"/>
          <w:szCs w:val="24"/>
        </w:rPr>
        <w:t>,</w:t>
      </w:r>
      <w:r w:rsidR="001627EB" w:rsidRPr="00A236E5">
        <w:rPr>
          <w:rFonts w:ascii="Arial" w:hAnsi="Arial" w:cs="Arial"/>
          <w:sz w:val="24"/>
          <w:szCs w:val="24"/>
        </w:rPr>
        <w:t xml:space="preserve"> </w:t>
      </w:r>
      <w:r w:rsidR="00365635" w:rsidRPr="00A236E5">
        <w:rPr>
          <w:rFonts w:ascii="Arial" w:hAnsi="Arial" w:cs="Arial"/>
          <w:sz w:val="24"/>
          <w:szCs w:val="24"/>
        </w:rPr>
        <w:t>program tanımlı genel devlet faiz dışı fazlasının ise yüzde 0,8 olacağı tahmin edilmektedir.</w:t>
      </w:r>
    </w:p>
    <w:p w:rsidR="00302B98" w:rsidRPr="00983971" w:rsidRDefault="00302B98"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983971">
        <w:rPr>
          <w:rFonts w:ascii="Arial" w:hAnsi="Arial" w:cs="Arial"/>
          <w:sz w:val="24"/>
          <w:szCs w:val="24"/>
        </w:rPr>
        <w:t xml:space="preserve">Bu gelişmelere paralel olarak, </w:t>
      </w:r>
      <w:proofErr w:type="spellStart"/>
      <w:r w:rsidRPr="00983971">
        <w:rPr>
          <w:rFonts w:ascii="Arial" w:hAnsi="Arial" w:cs="Arial"/>
          <w:sz w:val="24"/>
          <w:szCs w:val="24"/>
        </w:rPr>
        <w:t>GSYH’ya</w:t>
      </w:r>
      <w:proofErr w:type="spellEnd"/>
      <w:r w:rsidRPr="00983971">
        <w:rPr>
          <w:rFonts w:ascii="Arial" w:hAnsi="Arial" w:cs="Arial"/>
          <w:sz w:val="24"/>
          <w:szCs w:val="24"/>
        </w:rPr>
        <w:t xml:space="preserve"> oranla, 2012 yılında yüzde </w:t>
      </w:r>
      <w:r w:rsidR="001627EB" w:rsidRPr="00983971">
        <w:rPr>
          <w:rFonts w:ascii="Arial" w:hAnsi="Arial" w:cs="Arial"/>
          <w:sz w:val="24"/>
          <w:szCs w:val="24"/>
        </w:rPr>
        <w:t>1</w:t>
      </w:r>
      <w:r w:rsidRPr="00983971">
        <w:rPr>
          <w:rFonts w:ascii="Arial" w:hAnsi="Arial" w:cs="Arial"/>
          <w:sz w:val="24"/>
          <w:szCs w:val="24"/>
        </w:rPr>
        <w:t xml:space="preserve"> olarak gerçekleşen kamu kesimi borçlanma gereğinin 2013 yılında yüzde </w:t>
      </w:r>
      <w:r w:rsidR="001627EB" w:rsidRPr="00983971">
        <w:rPr>
          <w:rFonts w:ascii="Arial" w:hAnsi="Arial" w:cs="Arial"/>
          <w:sz w:val="24"/>
          <w:szCs w:val="24"/>
        </w:rPr>
        <w:t>0,8’e gerilemesi</w:t>
      </w:r>
      <w:r w:rsidRPr="00983971">
        <w:rPr>
          <w:rFonts w:ascii="Arial" w:hAnsi="Arial" w:cs="Arial"/>
          <w:sz w:val="24"/>
          <w:szCs w:val="24"/>
        </w:rPr>
        <w:t>; y</w:t>
      </w:r>
      <w:r w:rsidR="0021792B" w:rsidRPr="00983971">
        <w:rPr>
          <w:rFonts w:ascii="Arial" w:hAnsi="Arial" w:cs="Arial"/>
          <w:sz w:val="24"/>
          <w:szCs w:val="24"/>
        </w:rPr>
        <w:t>üzde 36,2</w:t>
      </w:r>
      <w:r w:rsidRPr="00983971">
        <w:rPr>
          <w:rFonts w:ascii="Arial" w:hAnsi="Arial" w:cs="Arial"/>
          <w:sz w:val="24"/>
          <w:szCs w:val="24"/>
        </w:rPr>
        <w:t xml:space="preserve"> olarak gerçekleşen AB tanımlı genel devlet borç stokunun ise yüzde </w:t>
      </w:r>
      <w:r w:rsidR="0021792B" w:rsidRPr="00983971">
        <w:rPr>
          <w:rFonts w:ascii="Arial" w:hAnsi="Arial" w:cs="Arial"/>
          <w:sz w:val="24"/>
          <w:szCs w:val="24"/>
        </w:rPr>
        <w:t>35</w:t>
      </w:r>
      <w:r w:rsidR="00F13863">
        <w:rPr>
          <w:rFonts w:ascii="Arial" w:hAnsi="Arial" w:cs="Arial"/>
          <w:sz w:val="24"/>
          <w:szCs w:val="24"/>
        </w:rPr>
        <w:t>’e düşmesi</w:t>
      </w:r>
      <w:r w:rsidR="0021792B" w:rsidRPr="00983971">
        <w:rPr>
          <w:rFonts w:ascii="Arial" w:hAnsi="Arial" w:cs="Arial"/>
          <w:sz w:val="24"/>
          <w:szCs w:val="24"/>
        </w:rPr>
        <w:t xml:space="preserve"> </w:t>
      </w:r>
      <w:r w:rsidRPr="00983971">
        <w:rPr>
          <w:rFonts w:ascii="Arial" w:hAnsi="Arial" w:cs="Arial"/>
          <w:sz w:val="24"/>
          <w:szCs w:val="24"/>
        </w:rPr>
        <w:t>beklenmektedir.</w:t>
      </w:r>
    </w:p>
    <w:p w:rsidR="009C3FF3" w:rsidRPr="00276B6A" w:rsidRDefault="009C3FF3" w:rsidP="00D71AD9">
      <w:pPr>
        <w:autoSpaceDE w:val="0"/>
        <w:autoSpaceDN w:val="0"/>
        <w:adjustRightInd w:val="0"/>
        <w:spacing w:after="120" w:line="240" w:lineRule="auto"/>
        <w:ind w:firstLine="709"/>
        <w:jc w:val="both"/>
        <w:rPr>
          <w:rFonts w:ascii="Arial" w:hAnsi="Arial" w:cs="Arial"/>
          <w:b/>
          <w:sz w:val="24"/>
          <w:szCs w:val="24"/>
        </w:rPr>
      </w:pPr>
      <w:r w:rsidRPr="00276B6A">
        <w:rPr>
          <w:rFonts w:ascii="Arial" w:hAnsi="Arial" w:cs="Arial"/>
          <w:b/>
          <w:sz w:val="24"/>
          <w:szCs w:val="24"/>
        </w:rPr>
        <w:t>II. TEMEL AMAÇ</w:t>
      </w:r>
    </w:p>
    <w:p w:rsidR="00612A2B" w:rsidRPr="00612A2B" w:rsidRDefault="00612A2B"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Onuncu Kalkınma Planında uzun vadeli kalkınma amacımız</w:t>
      </w:r>
      <w:r w:rsidRPr="00612A2B">
        <w:rPr>
          <w:rFonts w:ascii="Arial" w:hAnsi="Arial" w:cs="Arial"/>
          <w:sz w:val="24"/>
          <w:szCs w:val="24"/>
        </w:rPr>
        <w:t xml:space="preserve"> </w:t>
      </w:r>
      <w:r>
        <w:rPr>
          <w:rFonts w:ascii="Arial" w:hAnsi="Arial" w:cs="Arial"/>
          <w:sz w:val="24"/>
          <w:szCs w:val="24"/>
        </w:rPr>
        <w:t>“y</w:t>
      </w:r>
      <w:r w:rsidRPr="00612A2B">
        <w:rPr>
          <w:rFonts w:ascii="Arial" w:hAnsi="Arial" w:cs="Arial"/>
          <w:sz w:val="24"/>
          <w:szCs w:val="24"/>
        </w:rPr>
        <w:t>eniden şekillenmekte olan dünyada milletimizin temel değerlerini ve beklentilerini esas alarak gerçekleştirilecek yapısal dönüşümlerle ülkemizin uluslararası konumunu yükseltmek ve halkı</w:t>
      </w:r>
      <w:r>
        <w:rPr>
          <w:rFonts w:ascii="Arial" w:hAnsi="Arial" w:cs="Arial"/>
          <w:sz w:val="24"/>
          <w:szCs w:val="24"/>
        </w:rPr>
        <w:t>mızın refahını artırmak” olarak belirlenmiştir.</w:t>
      </w:r>
    </w:p>
    <w:p w:rsidR="00612A2B" w:rsidRPr="00612A2B" w:rsidRDefault="00343AEC"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Bu kapsamda, Planda</w:t>
      </w:r>
      <w:r w:rsidR="00F64F21">
        <w:rPr>
          <w:rFonts w:ascii="Arial" w:hAnsi="Arial" w:cs="Arial"/>
          <w:sz w:val="24"/>
          <w:szCs w:val="24"/>
        </w:rPr>
        <w:t>,</w:t>
      </w:r>
      <w:r>
        <w:rPr>
          <w:rFonts w:ascii="Arial" w:hAnsi="Arial" w:cs="Arial"/>
          <w:sz w:val="24"/>
          <w:szCs w:val="24"/>
        </w:rPr>
        <w:t xml:space="preserve"> </w:t>
      </w:r>
      <w:r w:rsidR="00612A2B" w:rsidRPr="00612A2B">
        <w:rPr>
          <w:rFonts w:ascii="Arial" w:hAnsi="Arial" w:cs="Arial"/>
          <w:sz w:val="24"/>
          <w:szCs w:val="24"/>
        </w:rPr>
        <w:t>Türkiye’nin uluslararası değer zinciri hiyerarşisinde üst basamaklara çıkmış, yüksek gelir grubu ülkeler arasına girmiş ve mutlak yoksulluk sorununu çözmüş</w:t>
      </w:r>
      <w:r w:rsidR="00301ADA">
        <w:rPr>
          <w:rFonts w:ascii="Arial" w:hAnsi="Arial" w:cs="Arial"/>
          <w:sz w:val="24"/>
          <w:szCs w:val="24"/>
        </w:rPr>
        <w:t xml:space="preserve">, gelir dağılımını iyileştirmiş </w:t>
      </w:r>
      <w:r w:rsidR="00612A2B" w:rsidRPr="00612A2B">
        <w:rPr>
          <w:rFonts w:ascii="Arial" w:hAnsi="Arial" w:cs="Arial"/>
          <w:sz w:val="24"/>
          <w:szCs w:val="24"/>
        </w:rPr>
        <w:t xml:space="preserve">bir ülke haline gelmesi </w:t>
      </w:r>
      <w:r w:rsidR="00612A2B">
        <w:rPr>
          <w:rFonts w:ascii="Arial" w:hAnsi="Arial" w:cs="Arial"/>
          <w:sz w:val="24"/>
          <w:szCs w:val="24"/>
        </w:rPr>
        <w:t>hedeflenmiştir</w:t>
      </w:r>
      <w:r w:rsidR="00612A2B" w:rsidRPr="00612A2B">
        <w:rPr>
          <w:rFonts w:ascii="Arial" w:hAnsi="Arial" w:cs="Arial"/>
          <w:sz w:val="24"/>
          <w:szCs w:val="24"/>
        </w:rPr>
        <w:t>. Bu hedefler doğrultusunda ülkemizin büyüme performansının daha yüksek, istikrarlı ve sürdürülebilir bir yapıya kavuşturulması, rekabet gücünün ve toplumun refah seviyesinin artırılması öngörülm</w:t>
      </w:r>
      <w:r>
        <w:rPr>
          <w:rFonts w:ascii="Arial" w:hAnsi="Arial" w:cs="Arial"/>
          <w:sz w:val="24"/>
          <w:szCs w:val="24"/>
        </w:rPr>
        <w:t>üştür</w:t>
      </w:r>
      <w:r w:rsidR="00612A2B" w:rsidRPr="00612A2B">
        <w:rPr>
          <w:rFonts w:ascii="Arial" w:hAnsi="Arial" w:cs="Arial"/>
          <w:sz w:val="24"/>
          <w:szCs w:val="24"/>
        </w:rPr>
        <w:t>.</w:t>
      </w:r>
    </w:p>
    <w:p w:rsidR="00612A2B" w:rsidRDefault="00343AEC"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Ayrıca, Planda</w:t>
      </w:r>
      <w:r w:rsidR="00612A2B" w:rsidRPr="00612A2B">
        <w:rPr>
          <w:rFonts w:ascii="Arial" w:hAnsi="Arial" w:cs="Arial"/>
          <w:sz w:val="24"/>
          <w:szCs w:val="24"/>
        </w:rPr>
        <w:t xml:space="preserve"> sermaye birikimi ve sana</w:t>
      </w:r>
      <w:r>
        <w:rPr>
          <w:rFonts w:ascii="Arial" w:hAnsi="Arial" w:cs="Arial"/>
          <w:sz w:val="24"/>
          <w:szCs w:val="24"/>
        </w:rPr>
        <w:t>yileşme sürecinin hızlandırılması,</w:t>
      </w:r>
      <w:r w:rsidR="00612A2B" w:rsidRPr="00612A2B">
        <w:rPr>
          <w:rFonts w:ascii="Arial" w:hAnsi="Arial" w:cs="Arial"/>
          <w:sz w:val="24"/>
          <w:szCs w:val="24"/>
        </w:rPr>
        <w:t xml:space="preserve"> üretim faktörlerinin verimlilik düzeyleri</w:t>
      </w:r>
      <w:r>
        <w:rPr>
          <w:rFonts w:ascii="Arial" w:hAnsi="Arial" w:cs="Arial"/>
          <w:sz w:val="24"/>
          <w:szCs w:val="24"/>
        </w:rPr>
        <w:t>nin</w:t>
      </w:r>
      <w:r w:rsidR="00612A2B" w:rsidRPr="00612A2B">
        <w:rPr>
          <w:rFonts w:ascii="Arial" w:hAnsi="Arial" w:cs="Arial"/>
          <w:sz w:val="24"/>
          <w:szCs w:val="24"/>
        </w:rPr>
        <w:t xml:space="preserve"> artırıl</w:t>
      </w:r>
      <w:r>
        <w:rPr>
          <w:rFonts w:ascii="Arial" w:hAnsi="Arial" w:cs="Arial"/>
          <w:sz w:val="24"/>
          <w:szCs w:val="24"/>
        </w:rPr>
        <w:t xml:space="preserve">ması, </w:t>
      </w:r>
      <w:r w:rsidR="00612A2B" w:rsidRPr="00612A2B">
        <w:rPr>
          <w:rFonts w:ascii="Arial" w:hAnsi="Arial" w:cs="Arial"/>
          <w:sz w:val="24"/>
          <w:szCs w:val="24"/>
        </w:rPr>
        <w:t>ekonominin ithalat bağımlılığı azalmış bir yapıya dönüştürülmesi</w:t>
      </w:r>
      <w:r>
        <w:rPr>
          <w:rFonts w:ascii="Arial" w:hAnsi="Arial" w:cs="Arial"/>
          <w:sz w:val="24"/>
          <w:szCs w:val="24"/>
        </w:rPr>
        <w:t>, ekonominin</w:t>
      </w:r>
      <w:r w:rsidR="00612A2B" w:rsidRPr="00612A2B">
        <w:rPr>
          <w:rFonts w:ascii="Arial" w:hAnsi="Arial" w:cs="Arial"/>
          <w:sz w:val="24"/>
          <w:szCs w:val="24"/>
        </w:rPr>
        <w:t xml:space="preserve"> yenilik üre</w:t>
      </w:r>
      <w:r>
        <w:rPr>
          <w:rFonts w:ascii="Arial" w:hAnsi="Arial" w:cs="Arial"/>
          <w:sz w:val="24"/>
          <w:szCs w:val="24"/>
        </w:rPr>
        <w:t>tme kapasitesinin yükseltilmesi ve</w:t>
      </w:r>
      <w:r w:rsidR="00612A2B" w:rsidRPr="00612A2B">
        <w:rPr>
          <w:rFonts w:ascii="Arial" w:hAnsi="Arial" w:cs="Arial"/>
          <w:sz w:val="24"/>
          <w:szCs w:val="24"/>
        </w:rPr>
        <w:t xml:space="preserve"> yeniliklerin mevcut üretim yapısıyla bütünleştirilerek üretim yapısında dönüşümün sağlanması hedeflenm</w:t>
      </w:r>
      <w:r>
        <w:rPr>
          <w:rFonts w:ascii="Arial" w:hAnsi="Arial" w:cs="Arial"/>
          <w:sz w:val="24"/>
          <w:szCs w:val="24"/>
        </w:rPr>
        <w:t>iştir</w:t>
      </w:r>
      <w:r w:rsidR="00612A2B" w:rsidRPr="00612A2B">
        <w:rPr>
          <w:rFonts w:ascii="Arial" w:hAnsi="Arial" w:cs="Arial"/>
          <w:sz w:val="24"/>
          <w:szCs w:val="24"/>
        </w:rPr>
        <w:t>.</w:t>
      </w:r>
    </w:p>
    <w:p w:rsidR="00715D6C" w:rsidRDefault="006E0534"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 xml:space="preserve">Onuncu Kalkınma Planının temel hedeflerine erişme yolunda, </w:t>
      </w:r>
      <w:r w:rsidR="0049778F" w:rsidRPr="00276B6A">
        <w:rPr>
          <w:rFonts w:ascii="Arial" w:hAnsi="Arial" w:cs="Arial"/>
          <w:sz w:val="24"/>
          <w:szCs w:val="24"/>
        </w:rPr>
        <w:t>Or</w:t>
      </w:r>
      <w:r w:rsidR="00854260">
        <w:rPr>
          <w:rFonts w:ascii="Arial" w:hAnsi="Arial" w:cs="Arial"/>
          <w:sz w:val="24"/>
          <w:szCs w:val="24"/>
        </w:rPr>
        <w:t>ta Vadeli Programın temel amacı</w:t>
      </w:r>
      <w:r>
        <w:rPr>
          <w:rFonts w:ascii="Arial" w:hAnsi="Arial" w:cs="Arial"/>
          <w:sz w:val="24"/>
          <w:szCs w:val="24"/>
        </w:rPr>
        <w:t>;</w:t>
      </w:r>
      <w:r w:rsidR="00854260">
        <w:rPr>
          <w:rFonts w:ascii="Arial" w:hAnsi="Arial" w:cs="Arial"/>
          <w:sz w:val="24"/>
          <w:szCs w:val="24"/>
        </w:rPr>
        <w:t xml:space="preserve"> </w:t>
      </w:r>
      <w:r w:rsidR="0049778F" w:rsidRPr="00276B6A">
        <w:rPr>
          <w:rFonts w:ascii="Arial" w:hAnsi="Arial" w:cs="Arial"/>
          <w:sz w:val="24"/>
          <w:szCs w:val="24"/>
        </w:rPr>
        <w:t>dünya ekonomisinde yaşanmakta olan belirsizlik ortamının ülkemize etkilerini</w:t>
      </w:r>
      <w:r w:rsidR="00D91603" w:rsidRPr="00276B6A">
        <w:rPr>
          <w:rFonts w:ascii="Arial" w:hAnsi="Arial" w:cs="Arial"/>
          <w:sz w:val="24"/>
          <w:szCs w:val="24"/>
        </w:rPr>
        <w:t xml:space="preserve"> asgari düzeyde </w:t>
      </w:r>
      <w:r w:rsidR="00C95CBD">
        <w:rPr>
          <w:rFonts w:ascii="Arial" w:hAnsi="Arial" w:cs="Arial"/>
          <w:sz w:val="24"/>
          <w:szCs w:val="24"/>
        </w:rPr>
        <w:t>tutarak,</w:t>
      </w:r>
      <w:r w:rsidR="00715D6C">
        <w:rPr>
          <w:rFonts w:ascii="Arial" w:hAnsi="Arial" w:cs="Arial"/>
          <w:sz w:val="24"/>
          <w:szCs w:val="24"/>
        </w:rPr>
        <w:t xml:space="preserve"> bir yandan cari açığı tedrici olarak düşürmek diğer yandan</w:t>
      </w:r>
      <w:r w:rsidR="00C95CBD">
        <w:rPr>
          <w:rFonts w:ascii="Arial" w:hAnsi="Arial" w:cs="Arial"/>
          <w:sz w:val="24"/>
          <w:szCs w:val="24"/>
        </w:rPr>
        <w:t xml:space="preserve"> </w:t>
      </w:r>
      <w:r w:rsidR="0049778F" w:rsidRPr="00276B6A">
        <w:rPr>
          <w:rFonts w:ascii="Arial" w:hAnsi="Arial" w:cs="Arial"/>
          <w:sz w:val="24"/>
          <w:szCs w:val="24"/>
        </w:rPr>
        <w:t>büyüme</w:t>
      </w:r>
      <w:r w:rsidR="00715D6C">
        <w:rPr>
          <w:rFonts w:ascii="Arial" w:hAnsi="Arial" w:cs="Arial"/>
          <w:sz w:val="24"/>
          <w:szCs w:val="24"/>
        </w:rPr>
        <w:t>yi artırmaktır.</w:t>
      </w:r>
      <w:r w:rsidR="0049778F" w:rsidRPr="00276B6A">
        <w:rPr>
          <w:rFonts w:ascii="Arial" w:hAnsi="Arial" w:cs="Arial"/>
          <w:sz w:val="24"/>
          <w:szCs w:val="24"/>
        </w:rPr>
        <w:t xml:space="preserve"> </w:t>
      </w:r>
    </w:p>
    <w:p w:rsidR="0049778F" w:rsidRPr="009231CB" w:rsidRDefault="00BE0CD0"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Y</w:t>
      </w:r>
      <w:r w:rsidRPr="00276B6A">
        <w:rPr>
          <w:rFonts w:ascii="Arial" w:hAnsi="Arial" w:cs="Arial"/>
          <w:sz w:val="24"/>
          <w:szCs w:val="24"/>
        </w:rPr>
        <w:t>urt</w:t>
      </w:r>
      <w:r w:rsidR="00994C34">
        <w:rPr>
          <w:rFonts w:ascii="Arial" w:hAnsi="Arial" w:cs="Arial"/>
          <w:sz w:val="24"/>
          <w:szCs w:val="24"/>
        </w:rPr>
        <w:t xml:space="preserve"> </w:t>
      </w:r>
      <w:r w:rsidRPr="00276B6A">
        <w:rPr>
          <w:rFonts w:ascii="Arial" w:hAnsi="Arial" w:cs="Arial"/>
          <w:sz w:val="24"/>
          <w:szCs w:val="24"/>
        </w:rPr>
        <w:t>içi tasarrufları artırmak</w:t>
      </w:r>
      <w:r>
        <w:rPr>
          <w:rFonts w:ascii="Arial" w:hAnsi="Arial" w:cs="Arial"/>
          <w:sz w:val="24"/>
          <w:szCs w:val="24"/>
        </w:rPr>
        <w:t>, mevcut kaynakları üretken alanlara yönlendirmek</w:t>
      </w:r>
      <w:r w:rsidR="00FC2DA1">
        <w:rPr>
          <w:rFonts w:ascii="Arial" w:hAnsi="Arial" w:cs="Arial"/>
          <w:sz w:val="24"/>
          <w:szCs w:val="24"/>
        </w:rPr>
        <w:t>,</w:t>
      </w:r>
      <w:r w:rsidR="009231CB">
        <w:rPr>
          <w:rFonts w:ascii="Arial" w:hAnsi="Arial" w:cs="Arial"/>
          <w:sz w:val="24"/>
          <w:szCs w:val="24"/>
        </w:rPr>
        <w:t xml:space="preserve"> ekonominin verimlilik düzeyini yükseltmek,</w:t>
      </w:r>
      <w:r>
        <w:rPr>
          <w:rFonts w:ascii="Arial" w:hAnsi="Arial" w:cs="Arial"/>
          <w:sz w:val="24"/>
          <w:szCs w:val="24"/>
        </w:rPr>
        <w:t xml:space="preserve"> i</w:t>
      </w:r>
      <w:r w:rsidR="00396A0A">
        <w:rPr>
          <w:rFonts w:ascii="Arial" w:hAnsi="Arial" w:cs="Arial"/>
          <w:sz w:val="24"/>
          <w:szCs w:val="24"/>
        </w:rPr>
        <w:t>stihdam</w:t>
      </w:r>
      <w:r w:rsidR="00E73CC0">
        <w:rPr>
          <w:rFonts w:ascii="Arial" w:hAnsi="Arial" w:cs="Arial"/>
          <w:sz w:val="24"/>
          <w:szCs w:val="24"/>
        </w:rPr>
        <w:t xml:space="preserve">ı </w:t>
      </w:r>
      <w:r w:rsidR="00396A0A">
        <w:rPr>
          <w:rFonts w:ascii="Arial" w:hAnsi="Arial" w:cs="Arial"/>
          <w:sz w:val="24"/>
          <w:szCs w:val="24"/>
        </w:rPr>
        <w:t>artırmak</w:t>
      </w:r>
      <w:r>
        <w:rPr>
          <w:rFonts w:ascii="Arial" w:hAnsi="Arial" w:cs="Arial"/>
          <w:sz w:val="24"/>
          <w:szCs w:val="24"/>
        </w:rPr>
        <w:t>, enflasyonu düş</w:t>
      </w:r>
      <w:r w:rsidR="009231CB">
        <w:rPr>
          <w:rFonts w:ascii="Arial" w:hAnsi="Arial" w:cs="Arial"/>
          <w:sz w:val="24"/>
          <w:szCs w:val="24"/>
        </w:rPr>
        <w:t xml:space="preserve">ürmek </w:t>
      </w:r>
      <w:r w:rsidRPr="009231CB">
        <w:rPr>
          <w:rFonts w:ascii="Arial" w:hAnsi="Arial" w:cs="Arial"/>
          <w:sz w:val="24"/>
          <w:szCs w:val="24"/>
        </w:rPr>
        <w:t>ve</w:t>
      </w:r>
      <w:r w:rsidR="00715D6C" w:rsidRPr="009231CB">
        <w:rPr>
          <w:rFonts w:ascii="Arial" w:hAnsi="Arial" w:cs="Arial"/>
          <w:sz w:val="24"/>
          <w:szCs w:val="24"/>
        </w:rPr>
        <w:t xml:space="preserve"> </w:t>
      </w:r>
      <w:r w:rsidRPr="009231CB">
        <w:rPr>
          <w:rFonts w:ascii="Arial" w:hAnsi="Arial" w:cs="Arial"/>
          <w:sz w:val="24"/>
          <w:szCs w:val="24"/>
        </w:rPr>
        <w:t>kamu maliyesinde güçlü duruşu devam ettirmek</w:t>
      </w:r>
      <w:r w:rsidR="00DA105F" w:rsidRPr="009231CB">
        <w:rPr>
          <w:rFonts w:ascii="Arial" w:hAnsi="Arial" w:cs="Arial"/>
          <w:sz w:val="24"/>
          <w:szCs w:val="24"/>
        </w:rPr>
        <w:t xml:space="preserve"> Orta Vadeli Programın </w:t>
      </w:r>
      <w:r w:rsidR="007507A4" w:rsidRPr="009231CB">
        <w:rPr>
          <w:rFonts w:ascii="Arial" w:hAnsi="Arial" w:cs="Arial"/>
          <w:sz w:val="24"/>
          <w:szCs w:val="24"/>
        </w:rPr>
        <w:t>öncelikl</w:t>
      </w:r>
      <w:r w:rsidR="00DF4F71" w:rsidRPr="009231CB">
        <w:rPr>
          <w:rFonts w:ascii="Arial" w:hAnsi="Arial" w:cs="Arial"/>
          <w:sz w:val="24"/>
          <w:szCs w:val="24"/>
        </w:rPr>
        <w:t xml:space="preserve">i </w:t>
      </w:r>
      <w:r w:rsidR="007507A4" w:rsidRPr="009231CB">
        <w:rPr>
          <w:rFonts w:ascii="Arial" w:hAnsi="Arial" w:cs="Arial"/>
          <w:sz w:val="24"/>
          <w:szCs w:val="24"/>
        </w:rPr>
        <w:t>müdahale alanlarıdır</w:t>
      </w:r>
      <w:r w:rsidR="00FC2DA1" w:rsidRPr="009231CB">
        <w:rPr>
          <w:rFonts w:ascii="Arial" w:hAnsi="Arial" w:cs="Arial"/>
          <w:sz w:val="24"/>
          <w:szCs w:val="24"/>
        </w:rPr>
        <w:t>.</w:t>
      </w:r>
    </w:p>
    <w:p w:rsidR="0030308A" w:rsidRDefault="0030308A"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 xml:space="preserve">Kalkınma Planının ve Orta Vadeli Programın amaç ve önceliklerini </w:t>
      </w:r>
      <w:r w:rsidR="00196A05">
        <w:rPr>
          <w:rFonts w:ascii="Arial" w:hAnsi="Arial" w:cs="Arial"/>
          <w:sz w:val="24"/>
          <w:szCs w:val="24"/>
        </w:rPr>
        <w:t>gerçekleştirmek için yapısal reformlara devam edilecektir.</w:t>
      </w:r>
      <w:r>
        <w:rPr>
          <w:rFonts w:ascii="Arial" w:hAnsi="Arial" w:cs="Arial"/>
          <w:sz w:val="24"/>
          <w:szCs w:val="24"/>
        </w:rPr>
        <w:t xml:space="preserve"> </w:t>
      </w:r>
    </w:p>
    <w:p w:rsidR="00732C35" w:rsidRPr="00276B6A" w:rsidRDefault="00732C35" w:rsidP="00D71AD9">
      <w:pPr>
        <w:spacing w:after="120" w:line="240" w:lineRule="auto"/>
        <w:ind w:firstLine="709"/>
        <w:jc w:val="both"/>
        <w:rPr>
          <w:rFonts w:ascii="Arial" w:hAnsi="Arial" w:cs="Arial"/>
          <w:sz w:val="24"/>
          <w:szCs w:val="24"/>
        </w:rPr>
      </w:pPr>
      <w:r w:rsidRPr="00276B6A">
        <w:rPr>
          <w:rFonts w:ascii="Arial" w:hAnsi="Arial" w:cs="Arial"/>
          <w:b/>
          <w:sz w:val="24"/>
          <w:szCs w:val="24"/>
        </w:rPr>
        <w:t>III. MAKROEKONOMİK HEDEFLER VE POLİTİKALAR</w:t>
      </w:r>
    </w:p>
    <w:p w:rsidR="00732C35" w:rsidRPr="00276B6A" w:rsidRDefault="00732C35" w:rsidP="00D71AD9">
      <w:pPr>
        <w:autoSpaceDE w:val="0"/>
        <w:autoSpaceDN w:val="0"/>
        <w:adjustRightInd w:val="0"/>
        <w:spacing w:after="120" w:line="240" w:lineRule="auto"/>
        <w:ind w:firstLine="709"/>
        <w:jc w:val="both"/>
        <w:rPr>
          <w:rFonts w:ascii="Arial" w:hAnsi="Arial" w:cs="Arial"/>
          <w:b/>
          <w:sz w:val="24"/>
          <w:szCs w:val="24"/>
        </w:rPr>
      </w:pPr>
      <w:r w:rsidRPr="00276B6A">
        <w:rPr>
          <w:rFonts w:ascii="Arial" w:hAnsi="Arial" w:cs="Arial"/>
          <w:b/>
          <w:sz w:val="24"/>
          <w:szCs w:val="24"/>
        </w:rPr>
        <w:t>A. PROGRAM DÖNEMİ HEDEF VE GÖSTERGELERİ</w:t>
      </w:r>
    </w:p>
    <w:p w:rsidR="00732C35" w:rsidRPr="00276B6A" w:rsidRDefault="005E38EF"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 xml:space="preserve">Programın </w:t>
      </w:r>
      <w:r w:rsidR="00732C35" w:rsidRPr="00276B6A">
        <w:rPr>
          <w:rFonts w:ascii="Arial" w:hAnsi="Arial" w:cs="Arial"/>
          <w:sz w:val="24"/>
          <w:szCs w:val="24"/>
        </w:rPr>
        <w:t>makroeko</w:t>
      </w:r>
      <w:r w:rsidRPr="00276B6A">
        <w:rPr>
          <w:rFonts w:ascii="Arial" w:hAnsi="Arial" w:cs="Arial"/>
          <w:sz w:val="24"/>
          <w:szCs w:val="24"/>
        </w:rPr>
        <w:t>nomik çerçevesi</w:t>
      </w:r>
      <w:r w:rsidR="00A236E5">
        <w:rPr>
          <w:rFonts w:ascii="Arial" w:hAnsi="Arial" w:cs="Arial"/>
          <w:sz w:val="24"/>
          <w:szCs w:val="24"/>
        </w:rPr>
        <w:t>;</w:t>
      </w:r>
      <w:r w:rsidRPr="00276B6A">
        <w:rPr>
          <w:rFonts w:ascii="Arial" w:hAnsi="Arial" w:cs="Arial"/>
          <w:sz w:val="24"/>
          <w:szCs w:val="24"/>
        </w:rPr>
        <w:t xml:space="preserve"> uluslararası finans piyasalarında 2013 yılı Mayıs ayından itibaren başlayan dalgalanmalar</w:t>
      </w:r>
      <w:r w:rsidR="0048789B">
        <w:rPr>
          <w:rFonts w:ascii="Arial" w:hAnsi="Arial" w:cs="Arial"/>
          <w:sz w:val="24"/>
          <w:szCs w:val="24"/>
        </w:rPr>
        <w:t>, küresel likidite koşullarında beklenen gelişmeler</w:t>
      </w:r>
      <w:r w:rsidRPr="00276B6A">
        <w:rPr>
          <w:rFonts w:ascii="Arial" w:hAnsi="Arial" w:cs="Arial"/>
          <w:sz w:val="24"/>
          <w:szCs w:val="24"/>
        </w:rPr>
        <w:t xml:space="preserve"> ve komşu ülkelerdeki siyasi gelişmelerin getirdiği belirsizlik ortamı göz önünde bulundurularak hazırlanmıştır. OVP dönemi hedefleri belirlenirken </w:t>
      </w:r>
      <w:r w:rsidR="00732C35" w:rsidRPr="00276B6A">
        <w:rPr>
          <w:rFonts w:ascii="Arial" w:hAnsi="Arial" w:cs="Arial"/>
          <w:sz w:val="24"/>
          <w:szCs w:val="24"/>
        </w:rPr>
        <w:t>küresel büyümenin tedrici olarak artacağı, ticaret ortaklarımızın</w:t>
      </w:r>
      <w:r w:rsidR="00301ADA">
        <w:rPr>
          <w:rFonts w:ascii="Arial" w:hAnsi="Arial" w:cs="Arial"/>
          <w:sz w:val="24"/>
          <w:szCs w:val="24"/>
        </w:rPr>
        <w:t xml:space="preserve"> ise</w:t>
      </w:r>
      <w:r w:rsidR="00732C35" w:rsidRPr="00276B6A">
        <w:rPr>
          <w:rFonts w:ascii="Arial" w:hAnsi="Arial" w:cs="Arial"/>
          <w:sz w:val="24"/>
          <w:szCs w:val="24"/>
        </w:rPr>
        <w:t xml:space="preserve"> ılımlı büyüyeceği, </w:t>
      </w:r>
      <w:r w:rsidR="00201A47" w:rsidRPr="00276B6A">
        <w:rPr>
          <w:rFonts w:ascii="Arial" w:hAnsi="Arial" w:cs="Arial"/>
          <w:sz w:val="24"/>
          <w:szCs w:val="24"/>
        </w:rPr>
        <w:t>büyümenin finansmanında yabancı sermaye girişinin yeterli katkıyı sağlayacağı</w:t>
      </w:r>
      <w:r w:rsidR="00F604E5">
        <w:rPr>
          <w:rFonts w:ascii="Arial" w:hAnsi="Arial" w:cs="Arial"/>
          <w:sz w:val="24"/>
          <w:szCs w:val="24"/>
        </w:rPr>
        <w:t xml:space="preserve"> </w:t>
      </w:r>
      <w:r w:rsidR="00F604E5" w:rsidRPr="005053E1">
        <w:rPr>
          <w:rFonts w:ascii="Arial" w:hAnsi="Arial" w:cs="Arial"/>
          <w:sz w:val="24"/>
          <w:szCs w:val="24"/>
        </w:rPr>
        <w:t>ve</w:t>
      </w:r>
      <w:r w:rsidR="00D015F8" w:rsidRPr="00276B6A">
        <w:rPr>
          <w:rFonts w:ascii="Arial" w:hAnsi="Arial" w:cs="Arial"/>
          <w:sz w:val="24"/>
          <w:szCs w:val="24"/>
        </w:rPr>
        <w:t xml:space="preserve"> dış ticaret hadlerinde kısmi bir iyileşme gerçekleşeceği </w:t>
      </w:r>
      <w:r w:rsidR="00732C35" w:rsidRPr="00276B6A">
        <w:rPr>
          <w:rFonts w:ascii="Arial" w:hAnsi="Arial" w:cs="Arial"/>
          <w:sz w:val="24"/>
          <w:szCs w:val="24"/>
        </w:rPr>
        <w:t xml:space="preserve">varsayılmıştır. </w:t>
      </w:r>
    </w:p>
    <w:p w:rsidR="00732C35" w:rsidRPr="00276B6A" w:rsidRDefault="00DD1F4A" w:rsidP="00D71AD9">
      <w:pPr>
        <w:autoSpaceDE w:val="0"/>
        <w:autoSpaceDN w:val="0"/>
        <w:adjustRightInd w:val="0"/>
        <w:spacing w:after="120" w:line="240" w:lineRule="auto"/>
        <w:ind w:firstLine="708"/>
        <w:jc w:val="both"/>
        <w:rPr>
          <w:rFonts w:ascii="Arial" w:hAnsi="Arial" w:cs="Arial"/>
          <w:b/>
          <w:sz w:val="24"/>
          <w:szCs w:val="24"/>
        </w:rPr>
      </w:pPr>
      <w:r w:rsidRPr="00276B6A">
        <w:rPr>
          <w:rFonts w:ascii="Arial" w:hAnsi="Arial" w:cs="Arial"/>
          <w:b/>
          <w:sz w:val="24"/>
          <w:szCs w:val="24"/>
        </w:rPr>
        <w:t>1. Büyüme</w:t>
      </w:r>
    </w:p>
    <w:p w:rsidR="00CA0E0E" w:rsidRPr="00DE4894" w:rsidRDefault="00CA0E0E"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DE4894">
        <w:rPr>
          <w:rFonts w:ascii="Arial" w:hAnsi="Arial" w:cs="Arial"/>
          <w:sz w:val="24"/>
          <w:szCs w:val="24"/>
        </w:rPr>
        <w:t>2014 yılında GSYH büyümesi yüzde 4 olarak öngörülmüştür. 2015 ve 2016 yıllarında ise üretken alanlara yönelik yatırımlarla desteklenen, daha çok yurt</w:t>
      </w:r>
      <w:r w:rsidR="00994C34">
        <w:rPr>
          <w:rFonts w:ascii="Arial" w:hAnsi="Arial" w:cs="Arial"/>
          <w:sz w:val="24"/>
          <w:szCs w:val="24"/>
        </w:rPr>
        <w:t xml:space="preserve"> </w:t>
      </w:r>
      <w:r w:rsidRPr="00DE4894">
        <w:rPr>
          <w:rFonts w:ascii="Arial" w:hAnsi="Arial" w:cs="Arial"/>
          <w:sz w:val="24"/>
          <w:szCs w:val="24"/>
        </w:rPr>
        <w:t xml:space="preserve">içi tasarruflarla finanse edilen, verimlilik artışına dayalı bir büyüme stratejisiyle GSYH artış hızı </w:t>
      </w:r>
      <w:r w:rsidR="00DE4894" w:rsidRPr="00DE4894">
        <w:rPr>
          <w:rFonts w:ascii="Arial" w:hAnsi="Arial" w:cs="Arial"/>
          <w:sz w:val="24"/>
          <w:szCs w:val="24"/>
        </w:rPr>
        <w:t>yüzde 5</w:t>
      </w:r>
      <w:r w:rsidRPr="00DE4894">
        <w:rPr>
          <w:rFonts w:ascii="Arial" w:hAnsi="Arial" w:cs="Arial"/>
          <w:sz w:val="24"/>
          <w:szCs w:val="24"/>
        </w:rPr>
        <w:t xml:space="preserve"> </w:t>
      </w:r>
      <w:r w:rsidR="00BB5542">
        <w:rPr>
          <w:rFonts w:ascii="Arial" w:hAnsi="Arial" w:cs="Arial"/>
          <w:sz w:val="24"/>
          <w:szCs w:val="24"/>
        </w:rPr>
        <w:t>olarak</w:t>
      </w:r>
      <w:r w:rsidRPr="00DE4894">
        <w:rPr>
          <w:rFonts w:ascii="Arial" w:hAnsi="Arial" w:cs="Arial"/>
          <w:sz w:val="24"/>
          <w:szCs w:val="24"/>
        </w:rPr>
        <w:t xml:space="preserve"> </w:t>
      </w:r>
      <w:r w:rsidR="005E38EF" w:rsidRPr="00DE4894">
        <w:rPr>
          <w:rFonts w:ascii="Arial" w:hAnsi="Arial" w:cs="Arial"/>
          <w:sz w:val="24"/>
          <w:szCs w:val="24"/>
        </w:rPr>
        <w:t>hedef</w:t>
      </w:r>
      <w:r w:rsidR="00BB5542">
        <w:rPr>
          <w:rFonts w:ascii="Arial" w:hAnsi="Arial" w:cs="Arial"/>
          <w:sz w:val="24"/>
          <w:szCs w:val="24"/>
        </w:rPr>
        <w:t>lenmiştir.</w:t>
      </w:r>
      <w:r w:rsidR="00683DA4" w:rsidRPr="00DE4894">
        <w:rPr>
          <w:rFonts w:ascii="Arial" w:hAnsi="Arial" w:cs="Arial"/>
          <w:sz w:val="24"/>
          <w:szCs w:val="24"/>
        </w:rPr>
        <w:t xml:space="preserve"> </w:t>
      </w:r>
    </w:p>
    <w:p w:rsidR="00F13863" w:rsidRPr="0010379E" w:rsidRDefault="00F13863"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10379E">
        <w:rPr>
          <w:rFonts w:ascii="Arial" w:hAnsi="Arial" w:cs="Arial"/>
          <w:sz w:val="24"/>
          <w:szCs w:val="24"/>
        </w:rPr>
        <w:t xml:space="preserve">Özellikle sanayi sektöründe üretimde verimliliği artırmaya yönelik politikalar yoluyla </w:t>
      </w:r>
      <w:proofErr w:type="spellStart"/>
      <w:r w:rsidRPr="0010379E">
        <w:rPr>
          <w:rFonts w:ascii="Arial" w:hAnsi="Arial" w:cs="Arial"/>
          <w:sz w:val="24"/>
          <w:szCs w:val="24"/>
        </w:rPr>
        <w:t>TFV’nin</w:t>
      </w:r>
      <w:proofErr w:type="spellEnd"/>
      <w:r w:rsidRPr="0010379E">
        <w:rPr>
          <w:rFonts w:ascii="Arial" w:hAnsi="Arial" w:cs="Arial"/>
          <w:sz w:val="24"/>
          <w:szCs w:val="24"/>
        </w:rPr>
        <w:t xml:space="preserve"> büyümeye katkısı artırılacak ve üretim faktörleri açısından daha dengeli bir büyüme yapısına geçiş sağlanacaktır. Aynı zamanda ekonominin rekabet gücü artırılarak cari açık sorunu yaşanmadan büyümenin hızlandırılması sağlanacaktır. Bu kapsamda, 2012 ve 2013 yıllarında negatif gerçekleşen ve 2014 yılından itibaren pozitife dönmesi beklenen </w:t>
      </w:r>
      <w:proofErr w:type="spellStart"/>
      <w:r w:rsidRPr="0010379E">
        <w:rPr>
          <w:rFonts w:ascii="Arial" w:hAnsi="Arial" w:cs="Arial"/>
          <w:sz w:val="24"/>
          <w:szCs w:val="24"/>
        </w:rPr>
        <w:t>TFV’nin</w:t>
      </w:r>
      <w:proofErr w:type="spellEnd"/>
      <w:r w:rsidRPr="0010379E">
        <w:rPr>
          <w:rFonts w:ascii="Arial" w:hAnsi="Arial" w:cs="Arial"/>
          <w:sz w:val="24"/>
          <w:szCs w:val="24"/>
        </w:rPr>
        <w:t xml:space="preserve"> büyümeye katkısının, program dönemi sonunda yüzde 17’ye yükselmesi öngörülmektedir.</w:t>
      </w:r>
    </w:p>
    <w:p w:rsidR="00CA0E0E" w:rsidRPr="00B63EBA" w:rsidRDefault="00CA0E0E"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B63EBA">
        <w:rPr>
          <w:rFonts w:ascii="Arial" w:hAnsi="Arial" w:cs="Arial"/>
          <w:sz w:val="24"/>
          <w:szCs w:val="24"/>
        </w:rPr>
        <w:t xml:space="preserve">Program döneminde, reel olarak yıllık ortalamada, özel </w:t>
      </w:r>
      <w:r w:rsidR="00BB5542">
        <w:rPr>
          <w:rFonts w:ascii="Arial" w:hAnsi="Arial" w:cs="Arial"/>
          <w:sz w:val="24"/>
          <w:szCs w:val="24"/>
        </w:rPr>
        <w:t xml:space="preserve">ve kamu </w:t>
      </w:r>
      <w:r w:rsidRPr="00B63EBA">
        <w:rPr>
          <w:rFonts w:ascii="Arial" w:hAnsi="Arial" w:cs="Arial"/>
          <w:sz w:val="24"/>
          <w:szCs w:val="24"/>
        </w:rPr>
        <w:t xml:space="preserve">tüketim harcamalarının yüzde </w:t>
      </w:r>
      <w:r w:rsidR="00BB5542">
        <w:rPr>
          <w:rFonts w:ascii="Arial" w:hAnsi="Arial" w:cs="Arial"/>
          <w:sz w:val="24"/>
          <w:szCs w:val="24"/>
        </w:rPr>
        <w:t>3,5,</w:t>
      </w:r>
      <w:r w:rsidRPr="00B63EBA">
        <w:rPr>
          <w:rFonts w:ascii="Arial" w:hAnsi="Arial" w:cs="Arial"/>
          <w:sz w:val="24"/>
          <w:szCs w:val="24"/>
        </w:rPr>
        <w:t xml:space="preserve"> özel sabit sermaye yatırımlarının yüzde </w:t>
      </w:r>
      <w:r w:rsidR="00BB5542">
        <w:rPr>
          <w:rFonts w:ascii="Arial" w:hAnsi="Arial" w:cs="Arial"/>
          <w:sz w:val="24"/>
          <w:szCs w:val="24"/>
        </w:rPr>
        <w:t>7,7</w:t>
      </w:r>
      <w:r w:rsidRPr="00B63EBA">
        <w:rPr>
          <w:rFonts w:ascii="Arial" w:hAnsi="Arial" w:cs="Arial"/>
          <w:sz w:val="24"/>
          <w:szCs w:val="24"/>
        </w:rPr>
        <w:t xml:space="preserve">, kamu sabit sermaye yatırımlarının ise yüzde </w:t>
      </w:r>
      <w:r w:rsidR="00BB5542">
        <w:rPr>
          <w:rFonts w:ascii="Arial" w:hAnsi="Arial" w:cs="Arial"/>
          <w:sz w:val="24"/>
          <w:szCs w:val="24"/>
        </w:rPr>
        <w:t>3,</w:t>
      </w:r>
      <w:r w:rsidR="009F23EA">
        <w:rPr>
          <w:rFonts w:ascii="Arial" w:hAnsi="Arial" w:cs="Arial"/>
          <w:sz w:val="24"/>
          <w:szCs w:val="24"/>
        </w:rPr>
        <w:t>3</w:t>
      </w:r>
      <w:r w:rsidR="00BB5542">
        <w:rPr>
          <w:rFonts w:ascii="Arial" w:hAnsi="Arial" w:cs="Arial"/>
          <w:sz w:val="24"/>
          <w:szCs w:val="24"/>
        </w:rPr>
        <w:t xml:space="preserve"> oranında</w:t>
      </w:r>
      <w:r w:rsidRPr="00B63EBA">
        <w:rPr>
          <w:rFonts w:ascii="Arial" w:hAnsi="Arial" w:cs="Arial"/>
          <w:sz w:val="24"/>
          <w:szCs w:val="24"/>
        </w:rPr>
        <w:t xml:space="preserve"> artması öngörülmektedir. </w:t>
      </w:r>
    </w:p>
    <w:p w:rsidR="00CA0E0E" w:rsidRPr="00B63EBA" w:rsidRDefault="00CA0E0E"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B63EBA">
        <w:rPr>
          <w:rFonts w:ascii="Arial" w:hAnsi="Arial" w:cs="Arial"/>
          <w:sz w:val="24"/>
          <w:szCs w:val="24"/>
        </w:rPr>
        <w:t>Son yıllarda önemli ölçüde düşen yurt</w:t>
      </w:r>
      <w:r w:rsidR="00994C34">
        <w:rPr>
          <w:rFonts w:ascii="Arial" w:hAnsi="Arial" w:cs="Arial"/>
          <w:sz w:val="24"/>
          <w:szCs w:val="24"/>
        </w:rPr>
        <w:t xml:space="preserve"> </w:t>
      </w:r>
      <w:r w:rsidRPr="00B63EBA">
        <w:rPr>
          <w:rFonts w:ascii="Arial" w:hAnsi="Arial" w:cs="Arial"/>
          <w:sz w:val="24"/>
          <w:szCs w:val="24"/>
        </w:rPr>
        <w:t xml:space="preserve">içi tasarrufların dönem boyunca artarak </w:t>
      </w:r>
      <w:r w:rsidR="00D91603" w:rsidRPr="00B63EBA">
        <w:rPr>
          <w:rFonts w:ascii="Arial" w:hAnsi="Arial" w:cs="Arial"/>
          <w:sz w:val="24"/>
          <w:szCs w:val="24"/>
        </w:rPr>
        <w:t xml:space="preserve">Program </w:t>
      </w:r>
      <w:r w:rsidRPr="00B63EBA">
        <w:rPr>
          <w:rFonts w:ascii="Arial" w:hAnsi="Arial" w:cs="Arial"/>
          <w:sz w:val="24"/>
          <w:szCs w:val="24"/>
        </w:rPr>
        <w:t xml:space="preserve">dönemi sonunda yüzde </w:t>
      </w:r>
      <w:r w:rsidR="00AC4151">
        <w:rPr>
          <w:rFonts w:ascii="Arial" w:hAnsi="Arial" w:cs="Arial"/>
          <w:sz w:val="24"/>
          <w:szCs w:val="24"/>
        </w:rPr>
        <w:t>16</w:t>
      </w:r>
      <w:r w:rsidRPr="00B63EBA">
        <w:rPr>
          <w:rFonts w:ascii="Arial" w:hAnsi="Arial" w:cs="Arial"/>
          <w:sz w:val="24"/>
          <w:szCs w:val="24"/>
        </w:rPr>
        <w:t>’y</w:t>
      </w:r>
      <w:r w:rsidR="00AC4151">
        <w:rPr>
          <w:rFonts w:ascii="Arial" w:hAnsi="Arial" w:cs="Arial"/>
          <w:sz w:val="24"/>
          <w:szCs w:val="24"/>
        </w:rPr>
        <w:t>a</w:t>
      </w:r>
      <w:r w:rsidRPr="00B63EBA">
        <w:rPr>
          <w:rFonts w:ascii="Arial" w:hAnsi="Arial" w:cs="Arial"/>
          <w:sz w:val="24"/>
          <w:szCs w:val="24"/>
        </w:rPr>
        <w:t xml:space="preserve"> ulaşması beklenmektedir. Bu gelişmede özel kesim tasarruflarındaki artış belirleyici ol</w:t>
      </w:r>
      <w:r w:rsidR="00D91603" w:rsidRPr="00B63EBA">
        <w:rPr>
          <w:rFonts w:ascii="Arial" w:hAnsi="Arial" w:cs="Arial"/>
          <w:sz w:val="24"/>
          <w:szCs w:val="24"/>
        </w:rPr>
        <w:t>acaktır.</w:t>
      </w:r>
    </w:p>
    <w:p w:rsidR="003844D2" w:rsidRPr="00B63EBA" w:rsidRDefault="00CA0E0E"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B63EBA">
        <w:rPr>
          <w:rFonts w:ascii="Arial" w:hAnsi="Arial" w:cs="Arial"/>
          <w:sz w:val="24"/>
          <w:szCs w:val="24"/>
        </w:rPr>
        <w:t xml:space="preserve">Program dönemi boyunca kamu </w:t>
      </w:r>
      <w:r w:rsidR="00D91603" w:rsidRPr="00B63EBA">
        <w:rPr>
          <w:rFonts w:ascii="Arial" w:hAnsi="Arial" w:cs="Arial"/>
          <w:sz w:val="24"/>
          <w:szCs w:val="24"/>
        </w:rPr>
        <w:t xml:space="preserve">ve </w:t>
      </w:r>
      <w:r w:rsidRPr="00B63EBA">
        <w:rPr>
          <w:rFonts w:ascii="Arial" w:hAnsi="Arial" w:cs="Arial"/>
          <w:sz w:val="24"/>
          <w:szCs w:val="24"/>
        </w:rPr>
        <w:t>özel kesim tasarruf yatırım açığı</w:t>
      </w:r>
      <w:r w:rsidR="007D6B94">
        <w:rPr>
          <w:rFonts w:ascii="Arial" w:hAnsi="Arial" w:cs="Arial"/>
          <w:sz w:val="24"/>
          <w:szCs w:val="24"/>
        </w:rPr>
        <w:t>nın azalması</w:t>
      </w:r>
      <w:r w:rsidRPr="00B63EBA">
        <w:rPr>
          <w:rFonts w:ascii="Arial" w:hAnsi="Arial" w:cs="Arial"/>
          <w:sz w:val="24"/>
          <w:szCs w:val="24"/>
        </w:rPr>
        <w:t xml:space="preserve"> öngörülmektedir. </w:t>
      </w:r>
    </w:p>
    <w:p w:rsidR="00B73056" w:rsidRPr="00276B6A" w:rsidRDefault="00D71AD9" w:rsidP="00D71AD9">
      <w:pPr>
        <w:pStyle w:val="ListeParagraf"/>
        <w:tabs>
          <w:tab w:val="left" w:pos="426"/>
        </w:tabs>
        <w:autoSpaceDE w:val="0"/>
        <w:autoSpaceDN w:val="0"/>
        <w:adjustRightInd w:val="0"/>
        <w:spacing w:after="120" w:line="360" w:lineRule="auto"/>
        <w:ind w:left="0"/>
        <w:contextualSpacing w:val="0"/>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sidR="00B73056" w:rsidRPr="00276B6A">
        <w:rPr>
          <w:rFonts w:ascii="Arial" w:hAnsi="Arial" w:cs="Arial"/>
          <w:b/>
          <w:sz w:val="24"/>
          <w:szCs w:val="24"/>
        </w:rPr>
        <w:t>2. Kamu Maliyesi</w:t>
      </w:r>
    </w:p>
    <w:p w:rsidR="00B73056" w:rsidRPr="00276B6A"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 xml:space="preserve">2013 yılı sonunda yüzde </w:t>
      </w:r>
      <w:r w:rsidR="005053E1">
        <w:rPr>
          <w:rFonts w:ascii="Arial" w:hAnsi="Arial" w:cs="Arial"/>
          <w:sz w:val="24"/>
          <w:szCs w:val="24"/>
        </w:rPr>
        <w:t>0,8</w:t>
      </w:r>
      <w:r w:rsidRPr="00276B6A">
        <w:rPr>
          <w:rFonts w:ascii="Arial" w:hAnsi="Arial" w:cs="Arial"/>
          <w:sz w:val="24"/>
          <w:szCs w:val="24"/>
        </w:rPr>
        <w:t xml:space="preserve"> olacağı tahmin edilen kamu kesimi açığının </w:t>
      </w:r>
      <w:proofErr w:type="spellStart"/>
      <w:r w:rsidRPr="00276B6A">
        <w:rPr>
          <w:rFonts w:ascii="Arial" w:hAnsi="Arial" w:cs="Arial"/>
          <w:sz w:val="24"/>
          <w:szCs w:val="24"/>
        </w:rPr>
        <w:t>GSYH’ya</w:t>
      </w:r>
      <w:proofErr w:type="spellEnd"/>
      <w:r w:rsidRPr="00276B6A">
        <w:rPr>
          <w:rFonts w:ascii="Arial" w:hAnsi="Arial" w:cs="Arial"/>
          <w:sz w:val="24"/>
          <w:szCs w:val="24"/>
        </w:rPr>
        <w:t xml:space="preserve"> oranının, Program dönemi sonunda yüzde </w:t>
      </w:r>
      <w:r w:rsidR="005053E1">
        <w:rPr>
          <w:rFonts w:ascii="Arial" w:hAnsi="Arial" w:cs="Arial"/>
          <w:sz w:val="24"/>
          <w:szCs w:val="24"/>
        </w:rPr>
        <w:t>0,5</w:t>
      </w:r>
      <w:r w:rsidRPr="002F3418">
        <w:rPr>
          <w:rFonts w:ascii="Arial" w:hAnsi="Arial" w:cs="Arial"/>
          <w:sz w:val="24"/>
          <w:szCs w:val="24"/>
        </w:rPr>
        <w:t>’</w:t>
      </w:r>
      <w:r w:rsidR="005053E1">
        <w:rPr>
          <w:rFonts w:ascii="Arial" w:hAnsi="Arial" w:cs="Arial"/>
          <w:sz w:val="24"/>
          <w:szCs w:val="24"/>
        </w:rPr>
        <w:t>e</w:t>
      </w:r>
      <w:r w:rsidRPr="00276B6A">
        <w:rPr>
          <w:rFonts w:ascii="Arial" w:hAnsi="Arial" w:cs="Arial"/>
          <w:sz w:val="24"/>
          <w:szCs w:val="24"/>
        </w:rPr>
        <w:t xml:space="preserve"> gerilemesi hedeflenmektedir.</w:t>
      </w:r>
    </w:p>
    <w:p w:rsidR="00B73056" w:rsidRPr="00276B6A"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 xml:space="preserve">2016 yılı genel devlet açığının </w:t>
      </w:r>
      <w:proofErr w:type="spellStart"/>
      <w:r w:rsidRPr="00276B6A">
        <w:rPr>
          <w:rFonts w:ascii="Arial" w:hAnsi="Arial" w:cs="Arial"/>
          <w:sz w:val="24"/>
          <w:szCs w:val="24"/>
        </w:rPr>
        <w:t>GSYH’ya</w:t>
      </w:r>
      <w:proofErr w:type="spellEnd"/>
      <w:r w:rsidRPr="00276B6A">
        <w:rPr>
          <w:rFonts w:ascii="Arial" w:hAnsi="Arial" w:cs="Arial"/>
          <w:sz w:val="24"/>
          <w:szCs w:val="24"/>
        </w:rPr>
        <w:t xml:space="preserve"> oranının, 2013 yılında gerçekleşmesi beklenen yüzde </w:t>
      </w:r>
      <w:r w:rsidR="005053E1">
        <w:rPr>
          <w:rFonts w:ascii="Arial" w:hAnsi="Arial" w:cs="Arial"/>
          <w:sz w:val="24"/>
          <w:szCs w:val="24"/>
        </w:rPr>
        <w:t>1</w:t>
      </w:r>
      <w:r w:rsidRPr="00276B6A">
        <w:rPr>
          <w:rFonts w:ascii="Arial" w:hAnsi="Arial" w:cs="Arial"/>
          <w:sz w:val="24"/>
          <w:szCs w:val="24"/>
        </w:rPr>
        <w:t xml:space="preserve"> seviyesinden yüzde </w:t>
      </w:r>
      <w:r w:rsidR="005053E1">
        <w:rPr>
          <w:rFonts w:ascii="Arial" w:hAnsi="Arial" w:cs="Arial"/>
          <w:sz w:val="24"/>
          <w:szCs w:val="24"/>
        </w:rPr>
        <w:t>0,5</w:t>
      </w:r>
      <w:r w:rsidRPr="002F3418">
        <w:rPr>
          <w:rFonts w:ascii="Arial" w:hAnsi="Arial" w:cs="Arial"/>
          <w:sz w:val="24"/>
          <w:szCs w:val="24"/>
        </w:rPr>
        <w:t>’</w:t>
      </w:r>
      <w:r w:rsidR="005053E1">
        <w:rPr>
          <w:rFonts w:ascii="Arial" w:hAnsi="Arial" w:cs="Arial"/>
          <w:sz w:val="24"/>
          <w:szCs w:val="24"/>
        </w:rPr>
        <w:t>e</w:t>
      </w:r>
      <w:r w:rsidRPr="00276B6A">
        <w:rPr>
          <w:rFonts w:ascii="Arial" w:hAnsi="Arial" w:cs="Arial"/>
          <w:sz w:val="24"/>
          <w:szCs w:val="24"/>
        </w:rPr>
        <w:t xml:space="preserve"> düşmesi hedeflenmektedir.</w:t>
      </w:r>
    </w:p>
    <w:p w:rsidR="00B73056" w:rsidRPr="00276B6A"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 xml:space="preserve">2013 yılında </w:t>
      </w:r>
      <w:proofErr w:type="spellStart"/>
      <w:r w:rsidRPr="00276B6A">
        <w:rPr>
          <w:rFonts w:ascii="Arial" w:hAnsi="Arial" w:cs="Arial"/>
          <w:sz w:val="24"/>
          <w:szCs w:val="24"/>
        </w:rPr>
        <w:t>GSYH’ya</w:t>
      </w:r>
      <w:proofErr w:type="spellEnd"/>
      <w:r w:rsidRPr="00276B6A">
        <w:rPr>
          <w:rFonts w:ascii="Arial" w:hAnsi="Arial" w:cs="Arial"/>
          <w:sz w:val="24"/>
          <w:szCs w:val="24"/>
        </w:rPr>
        <w:t xml:space="preserve"> oran olarak yüzde </w:t>
      </w:r>
      <w:r w:rsidR="005053E1">
        <w:rPr>
          <w:rFonts w:ascii="Arial" w:hAnsi="Arial" w:cs="Arial"/>
          <w:sz w:val="24"/>
          <w:szCs w:val="24"/>
        </w:rPr>
        <w:t>0,9</w:t>
      </w:r>
      <w:r w:rsidRPr="00276B6A">
        <w:rPr>
          <w:rFonts w:ascii="Arial" w:hAnsi="Arial" w:cs="Arial"/>
          <w:sz w:val="24"/>
          <w:szCs w:val="24"/>
        </w:rPr>
        <w:t xml:space="preserve"> düzeyinde olması beklenen program tanımlı kamu kesimi fazlasının sürekli artarak Program dönemi sonunda yüzde </w:t>
      </w:r>
      <w:r w:rsidR="005053E1">
        <w:rPr>
          <w:rFonts w:ascii="Arial" w:hAnsi="Arial" w:cs="Arial"/>
          <w:sz w:val="24"/>
          <w:szCs w:val="24"/>
        </w:rPr>
        <w:t>1,3</w:t>
      </w:r>
      <w:r w:rsidRPr="00276B6A">
        <w:rPr>
          <w:rFonts w:ascii="Arial" w:hAnsi="Arial" w:cs="Arial"/>
          <w:sz w:val="24"/>
          <w:szCs w:val="24"/>
        </w:rPr>
        <w:t>’e yükselmesi öngörülmektedir.</w:t>
      </w:r>
    </w:p>
    <w:p w:rsidR="00B73056" w:rsidRPr="00276B6A" w:rsidRDefault="005053E1"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G</w:t>
      </w:r>
      <w:r w:rsidRPr="00276B6A">
        <w:rPr>
          <w:rFonts w:ascii="Arial" w:hAnsi="Arial" w:cs="Arial"/>
          <w:sz w:val="24"/>
          <w:szCs w:val="24"/>
        </w:rPr>
        <w:t xml:space="preserve">enel devlet harcama ve gelirlerinin </w:t>
      </w:r>
      <w:proofErr w:type="spellStart"/>
      <w:r w:rsidRPr="00276B6A">
        <w:rPr>
          <w:rFonts w:ascii="Arial" w:hAnsi="Arial" w:cs="Arial"/>
          <w:sz w:val="24"/>
          <w:szCs w:val="24"/>
        </w:rPr>
        <w:t>GSYH’ya</w:t>
      </w:r>
      <w:proofErr w:type="spellEnd"/>
      <w:r w:rsidRPr="00276B6A">
        <w:rPr>
          <w:rFonts w:ascii="Arial" w:hAnsi="Arial" w:cs="Arial"/>
          <w:sz w:val="24"/>
          <w:szCs w:val="24"/>
        </w:rPr>
        <w:t xml:space="preserve"> oranlarının,</w:t>
      </w:r>
      <w:r w:rsidRPr="005053E1">
        <w:rPr>
          <w:rFonts w:ascii="Arial" w:hAnsi="Arial" w:cs="Arial"/>
          <w:sz w:val="24"/>
          <w:szCs w:val="24"/>
        </w:rPr>
        <w:t xml:space="preserve"> </w:t>
      </w:r>
      <w:r w:rsidRPr="00276B6A">
        <w:rPr>
          <w:rFonts w:ascii="Arial" w:hAnsi="Arial" w:cs="Arial"/>
          <w:sz w:val="24"/>
          <w:szCs w:val="24"/>
        </w:rPr>
        <w:t xml:space="preserve">2013 </w:t>
      </w:r>
      <w:proofErr w:type="gramStart"/>
      <w:r w:rsidRPr="00276B6A">
        <w:rPr>
          <w:rFonts w:ascii="Arial" w:hAnsi="Arial" w:cs="Arial"/>
          <w:sz w:val="24"/>
          <w:szCs w:val="24"/>
        </w:rPr>
        <w:t>yılı</w:t>
      </w:r>
      <w:r>
        <w:rPr>
          <w:rFonts w:ascii="Arial" w:hAnsi="Arial" w:cs="Arial"/>
          <w:sz w:val="24"/>
          <w:szCs w:val="24"/>
        </w:rPr>
        <w:t>ndaki</w:t>
      </w:r>
      <w:r w:rsidR="007D6B94">
        <w:rPr>
          <w:rFonts w:ascii="Arial" w:hAnsi="Arial" w:cs="Arial"/>
          <w:sz w:val="24"/>
          <w:szCs w:val="24"/>
        </w:rPr>
        <w:t xml:space="preserve"> </w:t>
      </w:r>
      <w:r w:rsidRPr="00276B6A">
        <w:rPr>
          <w:rFonts w:ascii="Arial" w:hAnsi="Arial" w:cs="Arial"/>
          <w:sz w:val="24"/>
          <w:szCs w:val="24"/>
        </w:rPr>
        <w:t xml:space="preserve"> </w:t>
      </w:r>
      <w:r>
        <w:rPr>
          <w:rFonts w:ascii="Arial" w:hAnsi="Arial" w:cs="Arial"/>
          <w:sz w:val="24"/>
          <w:szCs w:val="24"/>
        </w:rPr>
        <w:t>sırasıyla</w:t>
      </w:r>
      <w:proofErr w:type="gramEnd"/>
      <w:r>
        <w:rPr>
          <w:rFonts w:ascii="Arial" w:hAnsi="Arial" w:cs="Arial"/>
          <w:sz w:val="24"/>
          <w:szCs w:val="24"/>
        </w:rPr>
        <w:t xml:space="preserve"> </w:t>
      </w:r>
      <w:r w:rsidRPr="00276B6A">
        <w:rPr>
          <w:rFonts w:ascii="Arial" w:hAnsi="Arial" w:cs="Arial"/>
          <w:sz w:val="24"/>
          <w:szCs w:val="24"/>
        </w:rPr>
        <w:t xml:space="preserve">yüzde </w:t>
      </w:r>
      <w:r>
        <w:rPr>
          <w:rFonts w:ascii="Arial" w:hAnsi="Arial" w:cs="Arial"/>
          <w:sz w:val="24"/>
          <w:szCs w:val="24"/>
        </w:rPr>
        <w:t>40,8</w:t>
      </w:r>
      <w:r w:rsidRPr="00276B6A">
        <w:rPr>
          <w:rFonts w:ascii="Arial" w:hAnsi="Arial" w:cs="Arial"/>
          <w:sz w:val="24"/>
          <w:szCs w:val="24"/>
        </w:rPr>
        <w:t xml:space="preserve"> ile yüzde </w:t>
      </w:r>
      <w:r>
        <w:rPr>
          <w:rFonts w:ascii="Arial" w:hAnsi="Arial" w:cs="Arial"/>
          <w:sz w:val="24"/>
          <w:szCs w:val="24"/>
        </w:rPr>
        <w:t>39,7</w:t>
      </w:r>
      <w:r w:rsidRPr="00276B6A">
        <w:rPr>
          <w:rFonts w:ascii="Arial" w:hAnsi="Arial" w:cs="Arial"/>
          <w:sz w:val="24"/>
          <w:szCs w:val="24"/>
        </w:rPr>
        <w:t xml:space="preserve"> olan seviyelerinde</w:t>
      </w:r>
      <w:r>
        <w:rPr>
          <w:rFonts w:ascii="Arial" w:hAnsi="Arial" w:cs="Arial"/>
          <w:sz w:val="24"/>
          <w:szCs w:val="24"/>
        </w:rPr>
        <w:t>n</w:t>
      </w:r>
      <w:r w:rsidRPr="00276B6A">
        <w:rPr>
          <w:rFonts w:ascii="Arial" w:hAnsi="Arial" w:cs="Arial"/>
          <w:sz w:val="24"/>
          <w:szCs w:val="24"/>
        </w:rPr>
        <w:t xml:space="preserve"> </w:t>
      </w:r>
      <w:r w:rsidR="00B73056" w:rsidRPr="00276B6A">
        <w:rPr>
          <w:rFonts w:ascii="Arial" w:hAnsi="Arial" w:cs="Arial"/>
          <w:sz w:val="24"/>
          <w:szCs w:val="24"/>
        </w:rPr>
        <w:t xml:space="preserve">Program dönemi </w:t>
      </w:r>
      <w:r>
        <w:rPr>
          <w:rFonts w:ascii="Arial" w:hAnsi="Arial" w:cs="Arial"/>
          <w:sz w:val="24"/>
          <w:szCs w:val="24"/>
        </w:rPr>
        <w:t>sonunda</w:t>
      </w:r>
      <w:r w:rsidR="00B73056" w:rsidRPr="00276B6A">
        <w:rPr>
          <w:rFonts w:ascii="Arial" w:hAnsi="Arial" w:cs="Arial"/>
          <w:sz w:val="24"/>
          <w:szCs w:val="24"/>
        </w:rPr>
        <w:t xml:space="preserve"> </w:t>
      </w:r>
      <w:r>
        <w:rPr>
          <w:rFonts w:ascii="Arial" w:hAnsi="Arial" w:cs="Arial"/>
          <w:sz w:val="24"/>
          <w:szCs w:val="24"/>
        </w:rPr>
        <w:t>kademeli bir azalışla yüzde 38,2 ve yüzde 37,</w:t>
      </w:r>
      <w:r w:rsidR="007D6B94">
        <w:rPr>
          <w:rFonts w:ascii="Arial" w:hAnsi="Arial" w:cs="Arial"/>
          <w:sz w:val="24"/>
          <w:szCs w:val="24"/>
        </w:rPr>
        <w:t>7</w:t>
      </w:r>
      <w:r>
        <w:rPr>
          <w:rFonts w:ascii="Arial" w:hAnsi="Arial" w:cs="Arial"/>
          <w:sz w:val="24"/>
          <w:szCs w:val="24"/>
        </w:rPr>
        <w:t>’</w:t>
      </w:r>
      <w:r w:rsidR="007D6B94">
        <w:rPr>
          <w:rFonts w:ascii="Arial" w:hAnsi="Arial" w:cs="Arial"/>
          <w:sz w:val="24"/>
          <w:szCs w:val="24"/>
        </w:rPr>
        <w:t>y</w:t>
      </w:r>
      <w:r>
        <w:rPr>
          <w:rFonts w:ascii="Arial" w:hAnsi="Arial" w:cs="Arial"/>
          <w:sz w:val="24"/>
          <w:szCs w:val="24"/>
        </w:rPr>
        <w:t>e</w:t>
      </w:r>
      <w:r w:rsidR="00B73056" w:rsidRPr="00276B6A">
        <w:rPr>
          <w:rFonts w:ascii="Arial" w:hAnsi="Arial" w:cs="Arial"/>
          <w:sz w:val="24"/>
          <w:szCs w:val="24"/>
        </w:rPr>
        <w:t xml:space="preserve"> </w:t>
      </w:r>
      <w:r>
        <w:rPr>
          <w:rFonts w:ascii="Arial" w:hAnsi="Arial" w:cs="Arial"/>
          <w:sz w:val="24"/>
          <w:szCs w:val="24"/>
        </w:rPr>
        <w:t xml:space="preserve">gerilemesi </w:t>
      </w:r>
      <w:r w:rsidR="00B73056" w:rsidRPr="00276B6A">
        <w:rPr>
          <w:rFonts w:ascii="Arial" w:hAnsi="Arial" w:cs="Arial"/>
          <w:sz w:val="24"/>
          <w:szCs w:val="24"/>
        </w:rPr>
        <w:t>beklenmektedir.</w:t>
      </w:r>
    </w:p>
    <w:p w:rsidR="00B73056" w:rsidRPr="007D6B94"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7D6B94">
        <w:rPr>
          <w:rFonts w:ascii="Arial" w:hAnsi="Arial" w:cs="Arial"/>
          <w:sz w:val="24"/>
          <w:szCs w:val="24"/>
        </w:rPr>
        <w:t xml:space="preserve">2013 yılında </w:t>
      </w:r>
      <w:proofErr w:type="spellStart"/>
      <w:r w:rsidRPr="007D6B94">
        <w:rPr>
          <w:rFonts w:ascii="Arial" w:hAnsi="Arial" w:cs="Arial"/>
          <w:sz w:val="24"/>
          <w:szCs w:val="24"/>
        </w:rPr>
        <w:t>GSYH’ya</w:t>
      </w:r>
      <w:proofErr w:type="spellEnd"/>
      <w:r w:rsidRPr="007D6B94">
        <w:rPr>
          <w:rFonts w:ascii="Arial" w:hAnsi="Arial" w:cs="Arial"/>
          <w:sz w:val="24"/>
          <w:szCs w:val="24"/>
        </w:rPr>
        <w:t xml:space="preserve"> oran olarak yüzde </w:t>
      </w:r>
      <w:r w:rsidR="007D6B94">
        <w:rPr>
          <w:rFonts w:ascii="Arial" w:hAnsi="Arial" w:cs="Arial"/>
          <w:sz w:val="24"/>
          <w:szCs w:val="24"/>
        </w:rPr>
        <w:t>29</w:t>
      </w:r>
      <w:r w:rsidRPr="007D6B94">
        <w:rPr>
          <w:rFonts w:ascii="Arial" w:hAnsi="Arial" w:cs="Arial"/>
          <w:sz w:val="24"/>
          <w:szCs w:val="24"/>
        </w:rPr>
        <w:t xml:space="preserve"> olarak gerçekleşen sosyal güvenlik primleri dâhil, </w:t>
      </w:r>
      <w:proofErr w:type="spellStart"/>
      <w:r w:rsidRPr="007D6B94">
        <w:rPr>
          <w:rFonts w:ascii="Arial" w:hAnsi="Arial" w:cs="Arial"/>
          <w:sz w:val="24"/>
          <w:szCs w:val="24"/>
        </w:rPr>
        <w:t>red</w:t>
      </w:r>
      <w:proofErr w:type="spellEnd"/>
      <w:r w:rsidRPr="007D6B94">
        <w:rPr>
          <w:rFonts w:ascii="Arial" w:hAnsi="Arial" w:cs="Arial"/>
          <w:sz w:val="24"/>
          <w:szCs w:val="24"/>
        </w:rPr>
        <w:t xml:space="preserve"> ve iadeler hariç vergi yükünün </w:t>
      </w:r>
      <w:r w:rsidR="007D6B94">
        <w:rPr>
          <w:rFonts w:ascii="Arial" w:hAnsi="Arial" w:cs="Arial"/>
          <w:sz w:val="24"/>
          <w:szCs w:val="24"/>
        </w:rPr>
        <w:t>tedrici bir azalışla</w:t>
      </w:r>
      <w:r w:rsidRPr="007D6B94">
        <w:rPr>
          <w:rFonts w:ascii="Arial" w:hAnsi="Arial" w:cs="Arial"/>
          <w:sz w:val="24"/>
          <w:szCs w:val="24"/>
        </w:rPr>
        <w:t xml:space="preserve"> Program dönemi sonunda yüzde </w:t>
      </w:r>
      <w:r w:rsidR="007D6B94">
        <w:rPr>
          <w:rFonts w:ascii="Arial" w:hAnsi="Arial" w:cs="Arial"/>
          <w:sz w:val="24"/>
          <w:szCs w:val="24"/>
        </w:rPr>
        <w:t>28,3’</w:t>
      </w:r>
      <w:r w:rsidRPr="007D6B94">
        <w:rPr>
          <w:rFonts w:ascii="Arial" w:hAnsi="Arial" w:cs="Arial"/>
          <w:sz w:val="24"/>
          <w:szCs w:val="24"/>
        </w:rPr>
        <w:t>e gerileyeceği öngörülmektedir.</w:t>
      </w:r>
    </w:p>
    <w:p w:rsidR="00B73056" w:rsidRPr="00F13863" w:rsidRDefault="0021792B" w:rsidP="00D71AD9">
      <w:pPr>
        <w:pStyle w:val="ListeParagraf"/>
        <w:numPr>
          <w:ilvl w:val="0"/>
          <w:numId w:val="10"/>
        </w:numPr>
        <w:spacing w:after="120" w:line="240" w:lineRule="auto"/>
        <w:ind w:left="0" w:firstLine="0"/>
        <w:contextualSpacing w:val="0"/>
        <w:jc w:val="both"/>
        <w:rPr>
          <w:rFonts w:ascii="Arial" w:hAnsi="Arial" w:cs="Arial"/>
          <w:sz w:val="24"/>
          <w:szCs w:val="24"/>
        </w:rPr>
      </w:pPr>
      <w:proofErr w:type="spellStart"/>
      <w:r w:rsidRPr="00F13863">
        <w:rPr>
          <w:rFonts w:ascii="Arial" w:hAnsi="Arial" w:cs="Arial"/>
          <w:sz w:val="24"/>
          <w:szCs w:val="24"/>
        </w:rPr>
        <w:t>GSYH’ya</w:t>
      </w:r>
      <w:proofErr w:type="spellEnd"/>
      <w:r w:rsidRPr="00F13863">
        <w:rPr>
          <w:rFonts w:ascii="Arial" w:hAnsi="Arial" w:cs="Arial"/>
          <w:sz w:val="24"/>
          <w:szCs w:val="24"/>
        </w:rPr>
        <w:t xml:space="preserve"> oran olarak, 2013</w:t>
      </w:r>
      <w:r w:rsidR="00B73056" w:rsidRPr="00F13863">
        <w:rPr>
          <w:rFonts w:ascii="Arial" w:hAnsi="Arial" w:cs="Arial"/>
          <w:sz w:val="24"/>
          <w:szCs w:val="24"/>
        </w:rPr>
        <w:t xml:space="preserve"> yılında yüzde </w:t>
      </w:r>
      <w:r w:rsidRPr="00F13863">
        <w:rPr>
          <w:rFonts w:ascii="Arial" w:hAnsi="Arial" w:cs="Arial"/>
          <w:sz w:val="24"/>
          <w:szCs w:val="24"/>
        </w:rPr>
        <w:t xml:space="preserve">35 </w:t>
      </w:r>
      <w:r w:rsidR="00B73056" w:rsidRPr="00F13863">
        <w:rPr>
          <w:rFonts w:ascii="Arial" w:hAnsi="Arial" w:cs="Arial"/>
          <w:sz w:val="24"/>
          <w:szCs w:val="24"/>
        </w:rPr>
        <w:t>düzeyinde gerçekleş</w:t>
      </w:r>
      <w:r w:rsidRPr="00F13863">
        <w:rPr>
          <w:rFonts w:ascii="Arial" w:hAnsi="Arial" w:cs="Arial"/>
          <w:sz w:val="24"/>
          <w:szCs w:val="24"/>
        </w:rPr>
        <w:t xml:space="preserve">mesi beklenen </w:t>
      </w:r>
      <w:r w:rsidR="00B73056" w:rsidRPr="00F13863">
        <w:rPr>
          <w:rFonts w:ascii="Arial" w:hAnsi="Arial" w:cs="Arial"/>
          <w:sz w:val="24"/>
          <w:szCs w:val="24"/>
        </w:rPr>
        <w:t xml:space="preserve">AB tanımlı genel yönetim </w:t>
      </w:r>
      <w:proofErr w:type="gramStart"/>
      <w:r w:rsidR="00B73056" w:rsidRPr="00F13863">
        <w:rPr>
          <w:rFonts w:ascii="Arial" w:hAnsi="Arial" w:cs="Arial"/>
          <w:sz w:val="24"/>
          <w:szCs w:val="24"/>
        </w:rPr>
        <w:t>nominal</w:t>
      </w:r>
      <w:proofErr w:type="gramEnd"/>
      <w:r w:rsidR="00B73056" w:rsidRPr="00F13863">
        <w:rPr>
          <w:rFonts w:ascii="Arial" w:hAnsi="Arial" w:cs="Arial"/>
          <w:sz w:val="24"/>
          <w:szCs w:val="24"/>
        </w:rPr>
        <w:t xml:space="preserve"> borç stokunun Program dönemi sonunda yüzde </w:t>
      </w:r>
      <w:r w:rsidRPr="00F13863">
        <w:rPr>
          <w:rFonts w:ascii="Arial" w:hAnsi="Arial" w:cs="Arial"/>
          <w:sz w:val="24"/>
          <w:szCs w:val="24"/>
        </w:rPr>
        <w:t xml:space="preserve">30’a gerilemesi </w:t>
      </w:r>
      <w:r w:rsidR="00B73056" w:rsidRPr="00F13863">
        <w:rPr>
          <w:rFonts w:ascii="Arial" w:hAnsi="Arial" w:cs="Arial"/>
          <w:sz w:val="24"/>
          <w:szCs w:val="24"/>
        </w:rPr>
        <w:t>öngörülmektedir.</w:t>
      </w:r>
    </w:p>
    <w:p w:rsidR="0057159C" w:rsidRPr="00B32578"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OVP döneminde KİT sisteminin finansman açığı vermeden faaliyetlerini gerçekleştirmesi hedeflenmektedir.</w:t>
      </w:r>
    </w:p>
    <w:p w:rsidR="003844D2" w:rsidRPr="00276B6A" w:rsidRDefault="003844D2" w:rsidP="00D71AD9">
      <w:pPr>
        <w:spacing w:after="120" w:line="240" w:lineRule="auto"/>
        <w:ind w:firstLine="708"/>
        <w:jc w:val="both"/>
        <w:rPr>
          <w:rFonts w:ascii="Arial" w:hAnsi="Arial" w:cs="Arial"/>
          <w:b/>
          <w:sz w:val="24"/>
          <w:szCs w:val="24"/>
        </w:rPr>
      </w:pPr>
      <w:r w:rsidRPr="00276B6A">
        <w:rPr>
          <w:rFonts w:ascii="Arial" w:hAnsi="Arial" w:cs="Arial"/>
          <w:b/>
          <w:sz w:val="24"/>
          <w:szCs w:val="24"/>
        </w:rPr>
        <w:t>3. Ödemeler Dengesi</w:t>
      </w:r>
    </w:p>
    <w:p w:rsidR="003844D2" w:rsidRPr="00276B6A" w:rsidRDefault="003844D2"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 xml:space="preserve">Program döneminde yıllık ortalamada reel olarak ihracatın yüzde </w:t>
      </w:r>
      <w:r w:rsidR="00B40981">
        <w:rPr>
          <w:rFonts w:ascii="Arial" w:hAnsi="Arial" w:cs="Arial"/>
          <w:sz w:val="24"/>
          <w:szCs w:val="24"/>
        </w:rPr>
        <w:t>8,</w:t>
      </w:r>
      <w:r w:rsidR="00B73056">
        <w:rPr>
          <w:rFonts w:ascii="Arial" w:hAnsi="Arial" w:cs="Arial"/>
          <w:sz w:val="24"/>
          <w:szCs w:val="24"/>
        </w:rPr>
        <w:t>1</w:t>
      </w:r>
      <w:r w:rsidRPr="00276B6A">
        <w:rPr>
          <w:rFonts w:ascii="Arial" w:hAnsi="Arial" w:cs="Arial"/>
          <w:sz w:val="24"/>
          <w:szCs w:val="24"/>
        </w:rPr>
        <w:t xml:space="preserve">, ithalatın ise yüzde </w:t>
      </w:r>
      <w:r w:rsidR="00B73056">
        <w:rPr>
          <w:rFonts w:ascii="Arial" w:hAnsi="Arial" w:cs="Arial"/>
          <w:sz w:val="24"/>
          <w:szCs w:val="24"/>
        </w:rPr>
        <w:t>6,2</w:t>
      </w:r>
      <w:r w:rsidRPr="00276B6A">
        <w:rPr>
          <w:rFonts w:ascii="Arial" w:hAnsi="Arial" w:cs="Arial"/>
          <w:sz w:val="24"/>
          <w:szCs w:val="24"/>
        </w:rPr>
        <w:t xml:space="preserve"> oranınd</w:t>
      </w:r>
      <w:r w:rsidR="00CD6B51" w:rsidRPr="00276B6A">
        <w:rPr>
          <w:rFonts w:ascii="Arial" w:hAnsi="Arial" w:cs="Arial"/>
          <w:sz w:val="24"/>
          <w:szCs w:val="24"/>
        </w:rPr>
        <w:t>a artacağı tahmin edilmektedir.</w:t>
      </w:r>
    </w:p>
    <w:p w:rsidR="00325F68" w:rsidRPr="00276B6A" w:rsidRDefault="00325F68"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 xml:space="preserve">2013 yılında </w:t>
      </w:r>
      <w:r w:rsidR="00B40981">
        <w:rPr>
          <w:rFonts w:ascii="Arial" w:hAnsi="Arial" w:cs="Arial"/>
          <w:sz w:val="24"/>
          <w:szCs w:val="24"/>
        </w:rPr>
        <w:t>153,5</w:t>
      </w:r>
      <w:r w:rsidRPr="00276B6A">
        <w:rPr>
          <w:rFonts w:ascii="Arial" w:hAnsi="Arial" w:cs="Arial"/>
          <w:sz w:val="24"/>
          <w:szCs w:val="24"/>
        </w:rPr>
        <w:t xml:space="preserve"> milyar dolar olması beklenen ihracatın dönem sonunda </w:t>
      </w:r>
      <w:r w:rsidR="00B40981">
        <w:rPr>
          <w:rFonts w:ascii="Arial" w:hAnsi="Arial" w:cs="Arial"/>
          <w:sz w:val="24"/>
          <w:szCs w:val="24"/>
        </w:rPr>
        <w:t>20</w:t>
      </w:r>
      <w:r w:rsidR="00302B98">
        <w:rPr>
          <w:rFonts w:ascii="Arial" w:hAnsi="Arial" w:cs="Arial"/>
          <w:sz w:val="24"/>
          <w:szCs w:val="24"/>
        </w:rPr>
        <w:t>2,5</w:t>
      </w:r>
      <w:r w:rsidRPr="00276B6A">
        <w:rPr>
          <w:rFonts w:ascii="Arial" w:hAnsi="Arial" w:cs="Arial"/>
          <w:sz w:val="24"/>
          <w:szCs w:val="24"/>
        </w:rPr>
        <w:t xml:space="preserve"> milyar dolara, </w:t>
      </w:r>
      <w:r w:rsidR="00B40981">
        <w:rPr>
          <w:rFonts w:ascii="Arial" w:hAnsi="Arial" w:cs="Arial"/>
          <w:sz w:val="24"/>
          <w:szCs w:val="24"/>
        </w:rPr>
        <w:t>251,5</w:t>
      </w:r>
      <w:r w:rsidRPr="00276B6A">
        <w:rPr>
          <w:rFonts w:ascii="Arial" w:hAnsi="Arial" w:cs="Arial"/>
          <w:sz w:val="24"/>
          <w:szCs w:val="24"/>
        </w:rPr>
        <w:t xml:space="preserve"> milyar dolar olması beklenen ithalatın dönem sonunda </w:t>
      </w:r>
      <w:r w:rsidR="00B40981">
        <w:rPr>
          <w:rFonts w:ascii="Arial" w:hAnsi="Arial" w:cs="Arial"/>
          <w:sz w:val="24"/>
          <w:szCs w:val="24"/>
        </w:rPr>
        <w:t>3</w:t>
      </w:r>
      <w:r w:rsidR="00AA4641">
        <w:rPr>
          <w:rFonts w:ascii="Arial" w:hAnsi="Arial" w:cs="Arial"/>
          <w:sz w:val="24"/>
          <w:szCs w:val="24"/>
        </w:rPr>
        <w:t>0</w:t>
      </w:r>
      <w:r w:rsidR="00302B98">
        <w:rPr>
          <w:rFonts w:ascii="Arial" w:hAnsi="Arial" w:cs="Arial"/>
          <w:sz w:val="24"/>
          <w:szCs w:val="24"/>
        </w:rPr>
        <w:t>5</w:t>
      </w:r>
      <w:r w:rsidRPr="00276B6A">
        <w:rPr>
          <w:rFonts w:ascii="Arial" w:hAnsi="Arial" w:cs="Arial"/>
          <w:sz w:val="24"/>
          <w:szCs w:val="24"/>
        </w:rPr>
        <w:t xml:space="preserve"> milyar dolara ulaşacağı tahmin edilmektedir. Böylece 2013 yılında </w:t>
      </w:r>
      <w:r w:rsidRPr="00B40981">
        <w:rPr>
          <w:rFonts w:ascii="Arial" w:hAnsi="Arial" w:cs="Arial"/>
          <w:sz w:val="24"/>
          <w:szCs w:val="24"/>
        </w:rPr>
        <w:t>98</w:t>
      </w:r>
      <w:r w:rsidRPr="00276B6A">
        <w:rPr>
          <w:rFonts w:ascii="Arial" w:hAnsi="Arial" w:cs="Arial"/>
          <w:sz w:val="24"/>
          <w:szCs w:val="24"/>
        </w:rPr>
        <w:t xml:space="preserve"> milyar dolar olan dış ticaret açığı dönem sonunda </w:t>
      </w:r>
      <w:r w:rsidR="00B40981">
        <w:rPr>
          <w:rFonts w:ascii="Arial" w:hAnsi="Arial" w:cs="Arial"/>
          <w:sz w:val="24"/>
          <w:szCs w:val="24"/>
        </w:rPr>
        <w:t>10</w:t>
      </w:r>
      <w:r w:rsidR="00AA4641">
        <w:rPr>
          <w:rFonts w:ascii="Arial" w:hAnsi="Arial" w:cs="Arial"/>
          <w:sz w:val="24"/>
          <w:szCs w:val="24"/>
        </w:rPr>
        <w:t>2</w:t>
      </w:r>
      <w:r w:rsidR="00302B98">
        <w:rPr>
          <w:rFonts w:ascii="Arial" w:hAnsi="Arial" w:cs="Arial"/>
          <w:sz w:val="24"/>
          <w:szCs w:val="24"/>
        </w:rPr>
        <w:t>,5</w:t>
      </w:r>
      <w:r w:rsidR="00CD6B51" w:rsidRPr="00276B6A">
        <w:rPr>
          <w:rFonts w:ascii="Arial" w:hAnsi="Arial" w:cs="Arial"/>
          <w:sz w:val="24"/>
          <w:szCs w:val="24"/>
        </w:rPr>
        <w:t xml:space="preserve"> milyar dolara </w:t>
      </w:r>
      <w:r w:rsidR="00B40981">
        <w:rPr>
          <w:rFonts w:ascii="Arial" w:hAnsi="Arial" w:cs="Arial"/>
          <w:sz w:val="24"/>
          <w:szCs w:val="24"/>
        </w:rPr>
        <w:t>yüksele</w:t>
      </w:r>
      <w:r w:rsidR="00CD6B51" w:rsidRPr="00276B6A">
        <w:rPr>
          <w:rFonts w:ascii="Arial" w:hAnsi="Arial" w:cs="Arial"/>
          <w:sz w:val="24"/>
          <w:szCs w:val="24"/>
        </w:rPr>
        <w:t>cektir.</w:t>
      </w:r>
    </w:p>
    <w:p w:rsidR="003844D2" w:rsidRDefault="003844D2"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 xml:space="preserve">2013 yılı sonunda </w:t>
      </w:r>
      <w:r w:rsidR="00B40981">
        <w:rPr>
          <w:rFonts w:ascii="Arial" w:hAnsi="Arial" w:cs="Arial"/>
          <w:sz w:val="24"/>
          <w:szCs w:val="24"/>
        </w:rPr>
        <w:t>59</w:t>
      </w:r>
      <w:r w:rsidRPr="00276B6A">
        <w:rPr>
          <w:rFonts w:ascii="Arial" w:hAnsi="Arial" w:cs="Arial"/>
          <w:sz w:val="24"/>
          <w:szCs w:val="24"/>
        </w:rPr>
        <w:t xml:space="preserve"> milyar dolar olacağı tahmin edilen </w:t>
      </w:r>
      <w:r w:rsidR="00CF3D61">
        <w:rPr>
          <w:rFonts w:ascii="Arial" w:hAnsi="Arial" w:cs="Arial"/>
          <w:sz w:val="24"/>
          <w:szCs w:val="24"/>
        </w:rPr>
        <w:t>enerji</w:t>
      </w:r>
      <w:r w:rsidRPr="00276B6A">
        <w:rPr>
          <w:rFonts w:ascii="Arial" w:hAnsi="Arial" w:cs="Arial"/>
          <w:sz w:val="24"/>
          <w:szCs w:val="24"/>
        </w:rPr>
        <w:t xml:space="preserve"> ithalatının, büyüme performansı ve petrol fiyatlarındaki beklentilere göre dönem sonunda </w:t>
      </w:r>
      <w:r w:rsidR="00B40981">
        <w:rPr>
          <w:rFonts w:ascii="Arial" w:hAnsi="Arial" w:cs="Arial"/>
          <w:sz w:val="24"/>
          <w:szCs w:val="24"/>
        </w:rPr>
        <w:t>6</w:t>
      </w:r>
      <w:r w:rsidR="00B73056">
        <w:rPr>
          <w:rFonts w:ascii="Arial" w:hAnsi="Arial" w:cs="Arial"/>
          <w:sz w:val="24"/>
          <w:szCs w:val="24"/>
        </w:rPr>
        <w:t>4,5</w:t>
      </w:r>
      <w:r w:rsidRPr="00276B6A">
        <w:rPr>
          <w:rFonts w:ascii="Arial" w:hAnsi="Arial" w:cs="Arial"/>
          <w:sz w:val="24"/>
          <w:szCs w:val="24"/>
        </w:rPr>
        <w:t xml:space="preserve"> milyar dolar</w:t>
      </w:r>
      <w:r w:rsidR="0071155B">
        <w:rPr>
          <w:rFonts w:ascii="Arial" w:hAnsi="Arial" w:cs="Arial"/>
          <w:sz w:val="24"/>
          <w:szCs w:val="24"/>
        </w:rPr>
        <w:t xml:space="preserve">a yükselmesi </w:t>
      </w:r>
      <w:r w:rsidRPr="00276B6A">
        <w:rPr>
          <w:rFonts w:ascii="Arial" w:hAnsi="Arial" w:cs="Arial"/>
          <w:sz w:val="24"/>
          <w:szCs w:val="24"/>
        </w:rPr>
        <w:t>beklenmektedir.</w:t>
      </w:r>
    </w:p>
    <w:p w:rsidR="00144BEB" w:rsidRPr="00276B6A" w:rsidRDefault="00144BEB"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Dış ticaret hadlerinde kısmi iyileşme öngörülmektedir.</w:t>
      </w:r>
    </w:p>
    <w:p w:rsidR="003844D2" w:rsidRPr="00276B6A" w:rsidRDefault="003844D2"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 xml:space="preserve">2013 yılında </w:t>
      </w:r>
      <w:r w:rsidRPr="00B40981">
        <w:rPr>
          <w:rFonts w:ascii="Arial" w:hAnsi="Arial" w:cs="Arial"/>
          <w:sz w:val="24"/>
          <w:szCs w:val="24"/>
        </w:rPr>
        <w:t>29</w:t>
      </w:r>
      <w:r w:rsidR="00892176" w:rsidRPr="00276B6A">
        <w:rPr>
          <w:rFonts w:ascii="Arial" w:hAnsi="Arial" w:cs="Arial"/>
          <w:sz w:val="24"/>
          <w:szCs w:val="24"/>
        </w:rPr>
        <w:t xml:space="preserve"> milyar dolar</w:t>
      </w:r>
      <w:r w:rsidR="0071155B">
        <w:rPr>
          <w:rFonts w:ascii="Arial" w:hAnsi="Arial" w:cs="Arial"/>
          <w:sz w:val="24"/>
          <w:szCs w:val="24"/>
        </w:rPr>
        <w:t xml:space="preserve"> olacağı</w:t>
      </w:r>
      <w:r w:rsidR="00892176" w:rsidRPr="00276B6A">
        <w:rPr>
          <w:rFonts w:ascii="Arial" w:hAnsi="Arial" w:cs="Arial"/>
          <w:sz w:val="24"/>
          <w:szCs w:val="24"/>
        </w:rPr>
        <w:t xml:space="preserve"> </w:t>
      </w:r>
      <w:r w:rsidR="0071155B">
        <w:rPr>
          <w:rFonts w:ascii="Arial" w:hAnsi="Arial" w:cs="Arial"/>
          <w:sz w:val="24"/>
          <w:szCs w:val="24"/>
        </w:rPr>
        <w:t xml:space="preserve">tahmin edilen </w:t>
      </w:r>
      <w:r w:rsidR="0071155B" w:rsidRPr="00276B6A">
        <w:rPr>
          <w:rFonts w:ascii="Arial" w:hAnsi="Arial" w:cs="Arial"/>
          <w:sz w:val="24"/>
          <w:szCs w:val="24"/>
        </w:rPr>
        <w:t xml:space="preserve">turizm gelirlerinin </w:t>
      </w:r>
      <w:r w:rsidRPr="00276B6A">
        <w:rPr>
          <w:rFonts w:ascii="Arial" w:hAnsi="Arial" w:cs="Arial"/>
          <w:sz w:val="24"/>
          <w:szCs w:val="24"/>
        </w:rPr>
        <w:t>program dönemi</w:t>
      </w:r>
      <w:r w:rsidR="0071155B">
        <w:rPr>
          <w:rFonts w:ascii="Arial" w:hAnsi="Arial" w:cs="Arial"/>
          <w:sz w:val="24"/>
          <w:szCs w:val="24"/>
        </w:rPr>
        <w:t xml:space="preserve"> sonunda, </w:t>
      </w:r>
      <w:r w:rsidR="00CD6B51" w:rsidRPr="00276B6A">
        <w:rPr>
          <w:rFonts w:ascii="Arial" w:hAnsi="Arial" w:cs="Arial"/>
          <w:sz w:val="24"/>
          <w:szCs w:val="24"/>
        </w:rPr>
        <w:t xml:space="preserve">yıllık </w:t>
      </w:r>
      <w:r w:rsidRPr="00276B6A">
        <w:rPr>
          <w:rFonts w:ascii="Arial" w:hAnsi="Arial" w:cs="Arial"/>
          <w:sz w:val="24"/>
          <w:szCs w:val="24"/>
        </w:rPr>
        <w:t xml:space="preserve">ortalama yüzde </w:t>
      </w:r>
      <w:r w:rsidRPr="00B40981">
        <w:rPr>
          <w:rFonts w:ascii="Arial" w:hAnsi="Arial" w:cs="Arial"/>
          <w:sz w:val="24"/>
          <w:szCs w:val="24"/>
        </w:rPr>
        <w:t>6</w:t>
      </w:r>
      <w:r w:rsidRPr="00276B6A">
        <w:rPr>
          <w:rFonts w:ascii="Arial" w:hAnsi="Arial" w:cs="Arial"/>
          <w:sz w:val="24"/>
          <w:szCs w:val="24"/>
        </w:rPr>
        <w:t xml:space="preserve"> oranında </w:t>
      </w:r>
      <w:r w:rsidR="0071155B">
        <w:rPr>
          <w:rFonts w:ascii="Arial" w:hAnsi="Arial" w:cs="Arial"/>
          <w:sz w:val="24"/>
          <w:szCs w:val="24"/>
        </w:rPr>
        <w:t>artışla, 34,5 milyar dolara</w:t>
      </w:r>
      <w:r w:rsidRPr="00276B6A">
        <w:rPr>
          <w:rFonts w:ascii="Arial" w:hAnsi="Arial" w:cs="Arial"/>
          <w:sz w:val="24"/>
          <w:szCs w:val="24"/>
        </w:rPr>
        <w:t xml:space="preserve"> </w:t>
      </w:r>
      <w:r w:rsidR="0071155B">
        <w:rPr>
          <w:rFonts w:ascii="Arial" w:hAnsi="Arial" w:cs="Arial"/>
          <w:sz w:val="24"/>
          <w:szCs w:val="24"/>
        </w:rPr>
        <w:t xml:space="preserve">ulaşacağı </w:t>
      </w:r>
      <w:r w:rsidRPr="00276B6A">
        <w:rPr>
          <w:rFonts w:ascii="Arial" w:hAnsi="Arial" w:cs="Arial"/>
          <w:sz w:val="24"/>
          <w:szCs w:val="24"/>
        </w:rPr>
        <w:t xml:space="preserve">tahmin edilmektedir. </w:t>
      </w:r>
    </w:p>
    <w:p w:rsidR="003844D2" w:rsidRPr="00276B6A" w:rsidRDefault="003844D2"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Program döneminde yurt</w:t>
      </w:r>
      <w:r w:rsidR="00994C34">
        <w:rPr>
          <w:rFonts w:ascii="Arial" w:hAnsi="Arial" w:cs="Arial"/>
          <w:sz w:val="24"/>
          <w:szCs w:val="24"/>
        </w:rPr>
        <w:t xml:space="preserve"> </w:t>
      </w:r>
      <w:r w:rsidRPr="00276B6A">
        <w:rPr>
          <w:rFonts w:ascii="Arial" w:hAnsi="Arial" w:cs="Arial"/>
          <w:sz w:val="24"/>
          <w:szCs w:val="24"/>
        </w:rPr>
        <w:t>içi tasarrufları artırmaya ve ekonominin üretim yapısının ithalata olan yüksek bağımlılığını azaltmaya yönelik politikaların da katkısıyla, 2013 yılı</w:t>
      </w:r>
      <w:r w:rsidR="0071155B">
        <w:rPr>
          <w:rFonts w:ascii="Arial" w:hAnsi="Arial" w:cs="Arial"/>
          <w:sz w:val="24"/>
          <w:szCs w:val="24"/>
        </w:rPr>
        <w:t>n</w:t>
      </w:r>
      <w:r w:rsidRPr="00276B6A">
        <w:rPr>
          <w:rFonts w:ascii="Arial" w:hAnsi="Arial" w:cs="Arial"/>
          <w:sz w:val="24"/>
          <w:szCs w:val="24"/>
        </w:rPr>
        <w:t xml:space="preserve">da yüzde </w:t>
      </w:r>
      <w:r w:rsidRPr="00B40981">
        <w:rPr>
          <w:rFonts w:ascii="Arial" w:hAnsi="Arial" w:cs="Arial"/>
          <w:sz w:val="24"/>
          <w:szCs w:val="24"/>
        </w:rPr>
        <w:t>7,</w:t>
      </w:r>
      <w:r w:rsidR="00AA4641">
        <w:rPr>
          <w:rFonts w:ascii="Arial" w:hAnsi="Arial" w:cs="Arial"/>
          <w:sz w:val="24"/>
          <w:szCs w:val="24"/>
        </w:rPr>
        <w:t>1</w:t>
      </w:r>
      <w:r w:rsidRPr="00276B6A">
        <w:rPr>
          <w:rFonts w:ascii="Arial" w:hAnsi="Arial" w:cs="Arial"/>
          <w:sz w:val="24"/>
          <w:szCs w:val="24"/>
        </w:rPr>
        <w:t xml:space="preserve"> olarak gerçekleşmesi beklenen cari işlemler açığının </w:t>
      </w:r>
      <w:proofErr w:type="spellStart"/>
      <w:r w:rsidRPr="00276B6A">
        <w:rPr>
          <w:rFonts w:ascii="Arial" w:hAnsi="Arial" w:cs="Arial"/>
          <w:sz w:val="24"/>
          <w:szCs w:val="24"/>
        </w:rPr>
        <w:t>GSYH’ya</w:t>
      </w:r>
      <w:proofErr w:type="spellEnd"/>
      <w:r w:rsidRPr="00276B6A">
        <w:rPr>
          <w:rFonts w:ascii="Arial" w:hAnsi="Arial" w:cs="Arial"/>
          <w:sz w:val="24"/>
          <w:szCs w:val="24"/>
        </w:rPr>
        <w:t xml:space="preserve"> oranının dönem sonunda yüzde </w:t>
      </w:r>
      <w:r w:rsidR="00B40981">
        <w:rPr>
          <w:rFonts w:ascii="Arial" w:hAnsi="Arial" w:cs="Arial"/>
          <w:sz w:val="24"/>
          <w:szCs w:val="24"/>
        </w:rPr>
        <w:t>5,</w:t>
      </w:r>
      <w:r w:rsidR="00AA4641">
        <w:rPr>
          <w:rFonts w:ascii="Arial" w:hAnsi="Arial" w:cs="Arial"/>
          <w:sz w:val="24"/>
          <w:szCs w:val="24"/>
        </w:rPr>
        <w:t>5</w:t>
      </w:r>
      <w:r w:rsidRPr="00276B6A">
        <w:rPr>
          <w:rFonts w:ascii="Arial" w:hAnsi="Arial" w:cs="Arial"/>
          <w:sz w:val="24"/>
          <w:szCs w:val="24"/>
        </w:rPr>
        <w:t>’</w:t>
      </w:r>
      <w:r w:rsidR="00AA4641">
        <w:rPr>
          <w:rFonts w:ascii="Arial" w:hAnsi="Arial" w:cs="Arial"/>
          <w:sz w:val="24"/>
          <w:szCs w:val="24"/>
        </w:rPr>
        <w:t>e</w:t>
      </w:r>
      <w:r w:rsidRPr="00276B6A">
        <w:rPr>
          <w:rFonts w:ascii="Arial" w:hAnsi="Arial" w:cs="Arial"/>
          <w:sz w:val="24"/>
          <w:szCs w:val="24"/>
        </w:rPr>
        <w:t xml:space="preserve"> inmesi hedeflenmektedir. </w:t>
      </w:r>
      <w:r w:rsidR="00BA06B0" w:rsidRPr="00276B6A">
        <w:rPr>
          <w:rFonts w:ascii="Arial" w:hAnsi="Arial" w:cs="Arial"/>
          <w:sz w:val="24"/>
          <w:szCs w:val="24"/>
        </w:rPr>
        <w:t xml:space="preserve"> </w:t>
      </w:r>
    </w:p>
    <w:p w:rsidR="00071923" w:rsidRDefault="00071923" w:rsidP="00D71AD9">
      <w:pPr>
        <w:spacing w:after="120" w:line="240" w:lineRule="auto"/>
        <w:ind w:firstLine="708"/>
        <w:jc w:val="both"/>
        <w:rPr>
          <w:rFonts w:ascii="Arial" w:hAnsi="Arial" w:cs="Arial"/>
          <w:b/>
          <w:sz w:val="24"/>
          <w:szCs w:val="24"/>
        </w:rPr>
      </w:pPr>
    </w:p>
    <w:p w:rsidR="00071923" w:rsidRDefault="00071923" w:rsidP="00D71AD9">
      <w:pPr>
        <w:spacing w:after="120" w:line="240" w:lineRule="auto"/>
        <w:ind w:firstLine="708"/>
        <w:jc w:val="both"/>
        <w:rPr>
          <w:rFonts w:ascii="Arial" w:hAnsi="Arial" w:cs="Arial"/>
          <w:b/>
          <w:sz w:val="24"/>
          <w:szCs w:val="24"/>
        </w:rPr>
      </w:pPr>
    </w:p>
    <w:p w:rsidR="00CA522C" w:rsidRPr="00276B6A" w:rsidRDefault="00CA522C" w:rsidP="00D71AD9">
      <w:pPr>
        <w:spacing w:after="120" w:line="240" w:lineRule="auto"/>
        <w:ind w:firstLine="708"/>
        <w:jc w:val="both"/>
        <w:rPr>
          <w:rFonts w:ascii="Arial" w:hAnsi="Arial" w:cs="Arial"/>
          <w:b/>
          <w:sz w:val="24"/>
          <w:szCs w:val="24"/>
        </w:rPr>
      </w:pPr>
      <w:r w:rsidRPr="00276B6A">
        <w:rPr>
          <w:rFonts w:ascii="Arial" w:hAnsi="Arial" w:cs="Arial"/>
          <w:b/>
          <w:sz w:val="24"/>
          <w:szCs w:val="24"/>
        </w:rPr>
        <w:t>4. Enflasyon</w:t>
      </w:r>
    </w:p>
    <w:p w:rsidR="00CA522C" w:rsidRPr="002F3418" w:rsidRDefault="00CA522C"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F3418">
        <w:rPr>
          <w:rFonts w:ascii="Arial" w:hAnsi="Arial" w:cs="Arial"/>
          <w:sz w:val="24"/>
          <w:szCs w:val="24"/>
        </w:rPr>
        <w:t xml:space="preserve">Toplam talep koşullarının enflasyona düşüş yönünde yaptığı katkının Program döneminde devam edeceği öngörülmektedir. Gıda enflasyonunun yüzde 7 civarında </w:t>
      </w:r>
      <w:r w:rsidRPr="00696606">
        <w:rPr>
          <w:rFonts w:ascii="Arial" w:hAnsi="Arial" w:cs="Arial"/>
          <w:sz w:val="24"/>
          <w:szCs w:val="24"/>
        </w:rPr>
        <w:t>dalgalan</w:t>
      </w:r>
      <w:r w:rsidR="00931741" w:rsidRPr="00696606">
        <w:rPr>
          <w:rFonts w:ascii="Arial" w:hAnsi="Arial" w:cs="Arial"/>
          <w:sz w:val="24"/>
          <w:szCs w:val="24"/>
        </w:rPr>
        <w:t>acağı</w:t>
      </w:r>
      <w:r w:rsidRPr="002F3418">
        <w:rPr>
          <w:rFonts w:ascii="Arial" w:hAnsi="Arial" w:cs="Arial"/>
          <w:sz w:val="24"/>
          <w:szCs w:val="24"/>
        </w:rPr>
        <w:t xml:space="preserve"> ve</w:t>
      </w:r>
      <w:r w:rsidR="00325F68" w:rsidRPr="002F3418">
        <w:rPr>
          <w:rFonts w:ascii="Arial" w:hAnsi="Arial" w:cs="Arial"/>
          <w:sz w:val="24"/>
          <w:szCs w:val="24"/>
        </w:rPr>
        <w:t xml:space="preserve"> </w:t>
      </w:r>
      <w:r w:rsidR="00985E68">
        <w:rPr>
          <w:rFonts w:ascii="Arial" w:hAnsi="Arial" w:cs="Arial"/>
          <w:sz w:val="24"/>
          <w:szCs w:val="24"/>
        </w:rPr>
        <w:t>vadeli işlemler piyasaları göstergeleri</w:t>
      </w:r>
      <w:r w:rsidR="00C8339E">
        <w:rPr>
          <w:rFonts w:ascii="Arial" w:hAnsi="Arial" w:cs="Arial"/>
          <w:sz w:val="24"/>
          <w:szCs w:val="24"/>
        </w:rPr>
        <w:t xml:space="preserve"> dikkate alınarak </w:t>
      </w:r>
      <w:proofErr w:type="spellStart"/>
      <w:r w:rsidR="00325F68" w:rsidRPr="002F3418">
        <w:rPr>
          <w:rFonts w:ascii="Arial" w:hAnsi="Arial" w:cs="Arial"/>
          <w:sz w:val="24"/>
          <w:szCs w:val="24"/>
        </w:rPr>
        <w:t>Brent</w:t>
      </w:r>
      <w:proofErr w:type="spellEnd"/>
      <w:r w:rsidR="00325F68" w:rsidRPr="002F3418">
        <w:rPr>
          <w:rFonts w:ascii="Arial" w:hAnsi="Arial" w:cs="Arial"/>
          <w:sz w:val="24"/>
          <w:szCs w:val="24"/>
        </w:rPr>
        <w:t xml:space="preserve"> tipi ham petrol fiyatının </w:t>
      </w:r>
      <w:r w:rsidR="008B5307" w:rsidRPr="00696606">
        <w:rPr>
          <w:rFonts w:ascii="Arial" w:hAnsi="Arial" w:cs="Arial"/>
          <w:sz w:val="24"/>
          <w:szCs w:val="24"/>
        </w:rPr>
        <w:t>2013 yılındaki 108,8</w:t>
      </w:r>
      <w:r w:rsidR="00325F68" w:rsidRPr="00696606">
        <w:rPr>
          <w:rFonts w:ascii="Arial" w:hAnsi="Arial" w:cs="Arial"/>
          <w:sz w:val="24"/>
          <w:szCs w:val="24"/>
        </w:rPr>
        <w:t xml:space="preserve"> dolar</w:t>
      </w:r>
      <w:r w:rsidR="008B5307" w:rsidRPr="00696606">
        <w:rPr>
          <w:rFonts w:ascii="Arial" w:hAnsi="Arial" w:cs="Arial"/>
          <w:sz w:val="24"/>
          <w:szCs w:val="24"/>
        </w:rPr>
        <w:t xml:space="preserve"> seviyesinden</w:t>
      </w:r>
      <w:r w:rsidR="008B5307">
        <w:rPr>
          <w:rFonts w:ascii="Arial" w:hAnsi="Arial" w:cs="Arial"/>
          <w:sz w:val="24"/>
          <w:szCs w:val="24"/>
        </w:rPr>
        <w:t xml:space="preserve"> </w:t>
      </w:r>
      <w:r w:rsidR="00696606">
        <w:rPr>
          <w:rFonts w:ascii="Arial" w:hAnsi="Arial" w:cs="Arial"/>
          <w:sz w:val="24"/>
          <w:szCs w:val="24"/>
        </w:rPr>
        <w:t xml:space="preserve">tedricen azalarak </w:t>
      </w:r>
      <w:r w:rsidR="00325F68" w:rsidRPr="002F3418">
        <w:rPr>
          <w:rFonts w:ascii="Arial" w:hAnsi="Arial" w:cs="Arial"/>
          <w:sz w:val="24"/>
          <w:szCs w:val="24"/>
        </w:rPr>
        <w:t xml:space="preserve">dönem sonunda </w:t>
      </w:r>
      <w:r w:rsidR="008B5307" w:rsidRPr="00696606">
        <w:rPr>
          <w:rFonts w:ascii="Arial" w:hAnsi="Arial" w:cs="Arial"/>
          <w:sz w:val="24"/>
          <w:szCs w:val="24"/>
        </w:rPr>
        <w:t>93,1</w:t>
      </w:r>
      <w:r w:rsidR="00325F68" w:rsidRPr="002F3418">
        <w:rPr>
          <w:rFonts w:ascii="Arial" w:hAnsi="Arial" w:cs="Arial"/>
          <w:sz w:val="24"/>
          <w:szCs w:val="24"/>
        </w:rPr>
        <w:t xml:space="preserve"> dolara gerileyeceği</w:t>
      </w:r>
      <w:r w:rsidRPr="002F3418">
        <w:rPr>
          <w:rFonts w:ascii="Arial" w:hAnsi="Arial" w:cs="Arial"/>
          <w:sz w:val="24"/>
          <w:szCs w:val="24"/>
        </w:rPr>
        <w:t xml:space="preserve"> </w:t>
      </w:r>
      <w:r w:rsidR="00696606">
        <w:rPr>
          <w:rFonts w:ascii="Arial" w:hAnsi="Arial" w:cs="Arial"/>
          <w:sz w:val="24"/>
          <w:szCs w:val="24"/>
        </w:rPr>
        <w:t>varsayılmıştır.</w:t>
      </w:r>
      <w:r w:rsidRPr="002F3418">
        <w:rPr>
          <w:rFonts w:ascii="Arial" w:hAnsi="Arial" w:cs="Arial"/>
          <w:sz w:val="24"/>
          <w:szCs w:val="24"/>
        </w:rPr>
        <w:t xml:space="preserve"> </w:t>
      </w:r>
      <w:r w:rsidR="000C527D" w:rsidRPr="002F3418">
        <w:rPr>
          <w:rFonts w:ascii="Arial" w:hAnsi="Arial" w:cs="Arial"/>
          <w:sz w:val="24"/>
          <w:szCs w:val="24"/>
        </w:rPr>
        <w:t xml:space="preserve">TÜFE yıllık artış hızının </w:t>
      </w:r>
      <w:r w:rsidR="00696606">
        <w:rPr>
          <w:rFonts w:ascii="Arial" w:hAnsi="Arial" w:cs="Arial"/>
          <w:sz w:val="24"/>
          <w:szCs w:val="24"/>
        </w:rPr>
        <w:t xml:space="preserve">2014 yılındaki yüzde 5,3 seviyesinden </w:t>
      </w:r>
      <w:r w:rsidR="000C527D" w:rsidRPr="002F3418">
        <w:rPr>
          <w:rFonts w:ascii="Arial" w:hAnsi="Arial" w:cs="Arial"/>
          <w:sz w:val="24"/>
          <w:szCs w:val="24"/>
        </w:rPr>
        <w:t xml:space="preserve">dönem sonunda </w:t>
      </w:r>
      <w:r w:rsidRPr="002F3418">
        <w:rPr>
          <w:rFonts w:ascii="Arial" w:hAnsi="Arial" w:cs="Arial"/>
          <w:sz w:val="24"/>
          <w:szCs w:val="24"/>
        </w:rPr>
        <w:t>yüzde 5</w:t>
      </w:r>
      <w:r w:rsidR="00696606">
        <w:rPr>
          <w:rFonts w:ascii="Arial" w:hAnsi="Arial" w:cs="Arial"/>
          <w:sz w:val="24"/>
          <w:szCs w:val="24"/>
        </w:rPr>
        <w:t>’e</w:t>
      </w:r>
      <w:r w:rsidRPr="002F3418">
        <w:rPr>
          <w:rFonts w:ascii="Arial" w:hAnsi="Arial" w:cs="Arial"/>
          <w:sz w:val="24"/>
          <w:szCs w:val="24"/>
        </w:rPr>
        <w:t xml:space="preserve"> </w:t>
      </w:r>
      <w:r w:rsidR="00325F68" w:rsidRPr="002F3418">
        <w:rPr>
          <w:rFonts w:ascii="Arial" w:hAnsi="Arial" w:cs="Arial"/>
          <w:sz w:val="24"/>
          <w:szCs w:val="24"/>
        </w:rPr>
        <w:t xml:space="preserve">gerileyeceği </w:t>
      </w:r>
      <w:r w:rsidRPr="002F3418">
        <w:rPr>
          <w:rFonts w:ascii="Arial" w:hAnsi="Arial" w:cs="Arial"/>
          <w:sz w:val="24"/>
          <w:szCs w:val="24"/>
        </w:rPr>
        <w:t>tahmin edilmektedir.</w:t>
      </w:r>
      <w:r w:rsidR="00BA06B0" w:rsidRPr="002F3418">
        <w:rPr>
          <w:rFonts w:ascii="Arial" w:hAnsi="Arial" w:cs="Arial"/>
          <w:sz w:val="24"/>
          <w:szCs w:val="24"/>
        </w:rPr>
        <w:t xml:space="preserve"> </w:t>
      </w:r>
    </w:p>
    <w:p w:rsidR="00DD1F4A" w:rsidRPr="00276B6A" w:rsidRDefault="00DD1F4A" w:rsidP="00D71AD9">
      <w:pPr>
        <w:spacing w:after="120" w:line="240" w:lineRule="auto"/>
        <w:ind w:firstLine="708"/>
        <w:jc w:val="both"/>
        <w:rPr>
          <w:rFonts w:ascii="Arial" w:hAnsi="Arial" w:cs="Arial"/>
          <w:b/>
          <w:sz w:val="24"/>
          <w:szCs w:val="24"/>
        </w:rPr>
      </w:pPr>
      <w:r w:rsidRPr="00276B6A">
        <w:rPr>
          <w:rFonts w:ascii="Arial" w:hAnsi="Arial" w:cs="Arial"/>
          <w:b/>
          <w:sz w:val="24"/>
          <w:szCs w:val="24"/>
        </w:rPr>
        <w:t>5. İstihdam</w:t>
      </w:r>
      <w:r w:rsidR="006B6BE9" w:rsidRPr="00276B6A">
        <w:rPr>
          <w:rFonts w:ascii="Arial" w:hAnsi="Arial" w:cs="Arial"/>
          <w:b/>
          <w:sz w:val="24"/>
          <w:szCs w:val="24"/>
        </w:rPr>
        <w:t xml:space="preserve"> </w:t>
      </w:r>
    </w:p>
    <w:p w:rsidR="00DD1F4A" w:rsidRPr="00276B6A" w:rsidRDefault="00DD1F4A"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Program döneminde işgücüne ve istihdama katılımın artırılması</w:t>
      </w:r>
      <w:r w:rsidR="00DA65F1" w:rsidRPr="00276B6A">
        <w:rPr>
          <w:rFonts w:ascii="Arial" w:hAnsi="Arial" w:cs="Arial"/>
          <w:sz w:val="24"/>
          <w:szCs w:val="24"/>
        </w:rPr>
        <w:t xml:space="preserve">na yönelik </w:t>
      </w:r>
      <w:r w:rsidRPr="00276B6A">
        <w:rPr>
          <w:rFonts w:ascii="Arial" w:hAnsi="Arial" w:cs="Arial"/>
          <w:sz w:val="24"/>
          <w:szCs w:val="24"/>
        </w:rPr>
        <w:t>uygulanacak politikalar sonucu</w:t>
      </w:r>
      <w:r w:rsidR="00DA65F1" w:rsidRPr="00276B6A">
        <w:rPr>
          <w:rFonts w:ascii="Arial" w:hAnsi="Arial" w:cs="Arial"/>
          <w:sz w:val="24"/>
          <w:szCs w:val="24"/>
        </w:rPr>
        <w:t>nda</w:t>
      </w:r>
      <w:r w:rsidRPr="00276B6A">
        <w:rPr>
          <w:rFonts w:ascii="Arial" w:hAnsi="Arial" w:cs="Arial"/>
          <w:sz w:val="24"/>
          <w:szCs w:val="24"/>
        </w:rPr>
        <w:t xml:space="preserve"> tarım dışında </w:t>
      </w:r>
      <w:r w:rsidR="00DA65F1" w:rsidRPr="00276B6A">
        <w:rPr>
          <w:rFonts w:ascii="Arial" w:hAnsi="Arial" w:cs="Arial"/>
          <w:sz w:val="24"/>
          <w:szCs w:val="24"/>
        </w:rPr>
        <w:t xml:space="preserve">ilave </w:t>
      </w:r>
      <w:r w:rsidR="00186DF5" w:rsidRPr="00276B6A">
        <w:rPr>
          <w:rFonts w:ascii="Arial" w:hAnsi="Arial" w:cs="Arial"/>
          <w:sz w:val="24"/>
          <w:szCs w:val="24"/>
        </w:rPr>
        <w:t>1</w:t>
      </w:r>
      <w:r w:rsidR="002A2AB8">
        <w:rPr>
          <w:rFonts w:ascii="Arial" w:hAnsi="Arial" w:cs="Arial"/>
          <w:sz w:val="24"/>
          <w:szCs w:val="24"/>
        </w:rPr>
        <w:t>.8</w:t>
      </w:r>
      <w:r w:rsidR="00B73056">
        <w:rPr>
          <w:rFonts w:ascii="Arial" w:hAnsi="Arial" w:cs="Arial"/>
          <w:sz w:val="24"/>
          <w:szCs w:val="24"/>
        </w:rPr>
        <w:t>09</w:t>
      </w:r>
      <w:r w:rsidRPr="00276B6A">
        <w:rPr>
          <w:rFonts w:ascii="Arial" w:hAnsi="Arial" w:cs="Arial"/>
          <w:sz w:val="24"/>
          <w:szCs w:val="24"/>
        </w:rPr>
        <w:t xml:space="preserve"> </w:t>
      </w:r>
      <w:r w:rsidR="002A2AB8">
        <w:rPr>
          <w:rFonts w:ascii="Arial" w:hAnsi="Arial" w:cs="Arial"/>
          <w:sz w:val="24"/>
          <w:szCs w:val="24"/>
        </w:rPr>
        <w:t>bin</w:t>
      </w:r>
      <w:r w:rsidRPr="00276B6A">
        <w:rPr>
          <w:rFonts w:ascii="Arial" w:hAnsi="Arial" w:cs="Arial"/>
          <w:sz w:val="24"/>
          <w:szCs w:val="24"/>
        </w:rPr>
        <w:t xml:space="preserve"> kişi</w:t>
      </w:r>
      <w:r w:rsidR="00DA65F1" w:rsidRPr="00276B6A">
        <w:rPr>
          <w:rFonts w:ascii="Arial" w:hAnsi="Arial" w:cs="Arial"/>
          <w:sz w:val="24"/>
          <w:szCs w:val="24"/>
        </w:rPr>
        <w:t>nin</w:t>
      </w:r>
      <w:r w:rsidRPr="00276B6A">
        <w:rPr>
          <w:rFonts w:ascii="Arial" w:hAnsi="Arial" w:cs="Arial"/>
          <w:sz w:val="24"/>
          <w:szCs w:val="24"/>
        </w:rPr>
        <w:t xml:space="preserve"> istihdam </w:t>
      </w:r>
      <w:r w:rsidR="00DA65F1" w:rsidRPr="00276B6A">
        <w:rPr>
          <w:rFonts w:ascii="Arial" w:hAnsi="Arial" w:cs="Arial"/>
          <w:sz w:val="24"/>
          <w:szCs w:val="24"/>
        </w:rPr>
        <w:t xml:space="preserve">edilmesi </w:t>
      </w:r>
      <w:r w:rsidRPr="00276B6A">
        <w:rPr>
          <w:rFonts w:ascii="Arial" w:hAnsi="Arial" w:cs="Arial"/>
          <w:sz w:val="24"/>
          <w:szCs w:val="24"/>
        </w:rPr>
        <w:t xml:space="preserve">beklenmektedir. Bu dönemde </w:t>
      </w:r>
      <w:r w:rsidRPr="00B63EBA">
        <w:rPr>
          <w:rFonts w:ascii="Arial" w:hAnsi="Arial" w:cs="Arial"/>
          <w:sz w:val="24"/>
          <w:szCs w:val="24"/>
        </w:rPr>
        <w:t xml:space="preserve">tarım istihdamında beklenen sınırlı </w:t>
      </w:r>
      <w:r w:rsidR="00A215A2" w:rsidRPr="00B63EBA">
        <w:rPr>
          <w:rFonts w:ascii="Arial" w:hAnsi="Arial" w:cs="Arial"/>
          <w:sz w:val="24"/>
          <w:szCs w:val="24"/>
        </w:rPr>
        <w:t>artışın</w:t>
      </w:r>
      <w:r w:rsidRPr="00B63EBA">
        <w:rPr>
          <w:rFonts w:ascii="Arial" w:hAnsi="Arial" w:cs="Arial"/>
          <w:sz w:val="24"/>
          <w:szCs w:val="24"/>
        </w:rPr>
        <w:t xml:space="preserve"> etkisiyle </w:t>
      </w:r>
      <w:r w:rsidRPr="00276B6A">
        <w:rPr>
          <w:rFonts w:ascii="Arial" w:hAnsi="Arial" w:cs="Arial"/>
          <w:sz w:val="24"/>
          <w:szCs w:val="24"/>
        </w:rPr>
        <w:t xml:space="preserve">toplam istihdam artışının </w:t>
      </w:r>
      <w:r w:rsidR="006B6BE9" w:rsidRPr="00276B6A">
        <w:rPr>
          <w:rFonts w:ascii="Arial" w:hAnsi="Arial" w:cs="Arial"/>
          <w:sz w:val="24"/>
          <w:szCs w:val="24"/>
        </w:rPr>
        <w:t>1</w:t>
      </w:r>
      <w:r w:rsidR="002A2AB8">
        <w:rPr>
          <w:rFonts w:ascii="Arial" w:hAnsi="Arial" w:cs="Arial"/>
          <w:sz w:val="24"/>
          <w:szCs w:val="24"/>
        </w:rPr>
        <w:t>.</w:t>
      </w:r>
      <w:r w:rsidR="00B73056">
        <w:rPr>
          <w:rFonts w:ascii="Arial" w:hAnsi="Arial" w:cs="Arial"/>
          <w:sz w:val="24"/>
          <w:szCs w:val="24"/>
        </w:rPr>
        <w:t>833</w:t>
      </w:r>
      <w:r w:rsidRPr="00276B6A">
        <w:rPr>
          <w:rFonts w:ascii="Arial" w:hAnsi="Arial" w:cs="Arial"/>
          <w:sz w:val="24"/>
          <w:szCs w:val="24"/>
        </w:rPr>
        <w:t xml:space="preserve"> </w:t>
      </w:r>
      <w:r w:rsidR="002A2AB8">
        <w:rPr>
          <w:rFonts w:ascii="Arial" w:hAnsi="Arial" w:cs="Arial"/>
          <w:sz w:val="24"/>
          <w:szCs w:val="24"/>
        </w:rPr>
        <w:t>bin</w:t>
      </w:r>
      <w:r w:rsidRPr="00276B6A">
        <w:rPr>
          <w:rFonts w:ascii="Arial" w:hAnsi="Arial" w:cs="Arial"/>
          <w:sz w:val="24"/>
          <w:szCs w:val="24"/>
        </w:rPr>
        <w:t xml:space="preserve"> kişi olacağı öngörülmektedir. </w:t>
      </w:r>
    </w:p>
    <w:p w:rsidR="002A2AB8" w:rsidRPr="002A2AB8" w:rsidRDefault="00DD1F4A"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A2AB8">
        <w:rPr>
          <w:rFonts w:ascii="Arial" w:hAnsi="Arial" w:cs="Arial"/>
          <w:sz w:val="24"/>
          <w:szCs w:val="24"/>
        </w:rPr>
        <w:t>201</w:t>
      </w:r>
      <w:r w:rsidR="00A215A2" w:rsidRPr="002A2AB8">
        <w:rPr>
          <w:rFonts w:ascii="Arial" w:hAnsi="Arial" w:cs="Arial"/>
          <w:sz w:val="24"/>
          <w:szCs w:val="24"/>
        </w:rPr>
        <w:t>3</w:t>
      </w:r>
      <w:r w:rsidRPr="002A2AB8">
        <w:rPr>
          <w:rFonts w:ascii="Arial" w:hAnsi="Arial" w:cs="Arial"/>
          <w:sz w:val="24"/>
          <w:szCs w:val="24"/>
        </w:rPr>
        <w:t xml:space="preserve"> yılı sonunda yüzde 51 olması </w:t>
      </w:r>
      <w:r w:rsidR="00A215A2" w:rsidRPr="002A2AB8">
        <w:rPr>
          <w:rFonts w:ascii="Arial" w:hAnsi="Arial" w:cs="Arial"/>
          <w:sz w:val="24"/>
          <w:szCs w:val="24"/>
        </w:rPr>
        <w:t>bekle</w:t>
      </w:r>
      <w:r w:rsidRPr="002A2AB8">
        <w:rPr>
          <w:rFonts w:ascii="Arial" w:hAnsi="Arial" w:cs="Arial"/>
          <w:sz w:val="24"/>
          <w:szCs w:val="24"/>
        </w:rPr>
        <w:t>nen işgücüne katıl</w:t>
      </w:r>
      <w:r w:rsidR="00B344BC" w:rsidRPr="002A2AB8">
        <w:rPr>
          <w:rFonts w:ascii="Arial" w:hAnsi="Arial" w:cs="Arial"/>
          <w:sz w:val="24"/>
          <w:szCs w:val="24"/>
        </w:rPr>
        <w:t>ı</w:t>
      </w:r>
      <w:r w:rsidRPr="002A2AB8">
        <w:rPr>
          <w:rFonts w:ascii="Arial" w:hAnsi="Arial" w:cs="Arial"/>
          <w:sz w:val="24"/>
          <w:szCs w:val="24"/>
        </w:rPr>
        <w:t>m oranının dönem sonunda yüzde 5</w:t>
      </w:r>
      <w:r w:rsidR="00B73056">
        <w:rPr>
          <w:rFonts w:ascii="Arial" w:hAnsi="Arial" w:cs="Arial"/>
          <w:sz w:val="24"/>
          <w:szCs w:val="24"/>
        </w:rPr>
        <w:t>1,9</w:t>
      </w:r>
      <w:r w:rsidRPr="002A2AB8">
        <w:rPr>
          <w:rFonts w:ascii="Arial" w:hAnsi="Arial" w:cs="Arial"/>
          <w:sz w:val="24"/>
          <w:szCs w:val="24"/>
        </w:rPr>
        <w:t>’</w:t>
      </w:r>
      <w:r w:rsidR="00B73056">
        <w:rPr>
          <w:rFonts w:ascii="Arial" w:hAnsi="Arial" w:cs="Arial"/>
          <w:sz w:val="24"/>
          <w:szCs w:val="24"/>
        </w:rPr>
        <w:t>a</w:t>
      </w:r>
      <w:r w:rsidRPr="002A2AB8">
        <w:rPr>
          <w:rFonts w:ascii="Arial" w:hAnsi="Arial" w:cs="Arial"/>
          <w:sz w:val="24"/>
          <w:szCs w:val="24"/>
        </w:rPr>
        <w:t xml:space="preserve"> ulaşması </w:t>
      </w:r>
      <w:r w:rsidR="00A215A2" w:rsidRPr="002A2AB8">
        <w:rPr>
          <w:rFonts w:ascii="Arial" w:hAnsi="Arial" w:cs="Arial"/>
          <w:sz w:val="24"/>
          <w:szCs w:val="24"/>
        </w:rPr>
        <w:t>hedef</w:t>
      </w:r>
      <w:r w:rsidRPr="002A2AB8">
        <w:rPr>
          <w:rFonts w:ascii="Arial" w:hAnsi="Arial" w:cs="Arial"/>
          <w:sz w:val="24"/>
          <w:szCs w:val="24"/>
        </w:rPr>
        <w:t>lenmektedir. İş ve aile yaşamını uyumlaştırma politikalarının hayata geçirilmesiyle, kadınların işgücüne katıl</w:t>
      </w:r>
      <w:r w:rsidR="00A215A2" w:rsidRPr="002A2AB8">
        <w:rPr>
          <w:rFonts w:ascii="Arial" w:hAnsi="Arial" w:cs="Arial"/>
          <w:sz w:val="24"/>
          <w:szCs w:val="24"/>
        </w:rPr>
        <w:t>ı</w:t>
      </w:r>
      <w:r w:rsidRPr="002A2AB8">
        <w:rPr>
          <w:rFonts w:ascii="Arial" w:hAnsi="Arial" w:cs="Arial"/>
          <w:sz w:val="24"/>
          <w:szCs w:val="24"/>
        </w:rPr>
        <w:t xml:space="preserve">m oranının </w:t>
      </w:r>
      <w:r w:rsidR="00A215A2" w:rsidRPr="002A2AB8">
        <w:rPr>
          <w:rFonts w:ascii="Arial" w:hAnsi="Arial" w:cs="Arial"/>
          <w:sz w:val="24"/>
          <w:szCs w:val="24"/>
        </w:rPr>
        <w:t xml:space="preserve">2013 yılına göre </w:t>
      </w:r>
      <w:r w:rsidR="002A2AB8" w:rsidRPr="002A2AB8">
        <w:rPr>
          <w:rFonts w:ascii="Arial" w:hAnsi="Arial" w:cs="Arial"/>
          <w:sz w:val="24"/>
          <w:szCs w:val="24"/>
        </w:rPr>
        <w:t>1,</w:t>
      </w:r>
      <w:r w:rsidR="00B73056">
        <w:rPr>
          <w:rFonts w:ascii="Arial" w:hAnsi="Arial" w:cs="Arial"/>
          <w:sz w:val="24"/>
          <w:szCs w:val="24"/>
        </w:rPr>
        <w:t>3</w:t>
      </w:r>
      <w:r w:rsidRPr="002A2AB8">
        <w:rPr>
          <w:rFonts w:ascii="Arial" w:hAnsi="Arial" w:cs="Arial"/>
          <w:sz w:val="24"/>
          <w:szCs w:val="24"/>
        </w:rPr>
        <w:t xml:space="preserve"> puan artarak yüzde </w:t>
      </w:r>
      <w:r w:rsidR="002A2AB8" w:rsidRPr="002A2AB8">
        <w:rPr>
          <w:rFonts w:ascii="Arial" w:hAnsi="Arial" w:cs="Arial"/>
          <w:sz w:val="24"/>
          <w:szCs w:val="24"/>
        </w:rPr>
        <w:t>32,</w:t>
      </w:r>
      <w:r w:rsidR="00B73056">
        <w:rPr>
          <w:rFonts w:ascii="Arial" w:hAnsi="Arial" w:cs="Arial"/>
          <w:sz w:val="24"/>
          <w:szCs w:val="24"/>
        </w:rPr>
        <w:t>7</w:t>
      </w:r>
      <w:r w:rsidRPr="002A2AB8">
        <w:rPr>
          <w:rFonts w:ascii="Arial" w:hAnsi="Arial" w:cs="Arial"/>
          <w:sz w:val="24"/>
          <w:szCs w:val="24"/>
        </w:rPr>
        <w:t>’</w:t>
      </w:r>
      <w:r w:rsidR="00B73056">
        <w:rPr>
          <w:rFonts w:ascii="Arial" w:hAnsi="Arial" w:cs="Arial"/>
          <w:sz w:val="24"/>
          <w:szCs w:val="24"/>
        </w:rPr>
        <w:t>ye</w:t>
      </w:r>
      <w:r w:rsidRPr="002A2AB8">
        <w:rPr>
          <w:rFonts w:ascii="Arial" w:hAnsi="Arial" w:cs="Arial"/>
          <w:sz w:val="24"/>
          <w:szCs w:val="24"/>
        </w:rPr>
        <w:t xml:space="preserve"> ulaşacağı tahmin edilmektedir. </w:t>
      </w:r>
    </w:p>
    <w:p w:rsidR="006B6BE9" w:rsidRPr="002A2AB8" w:rsidRDefault="000D4BDE"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2013 yılında yüzde 46,2 olması beklenen i</w:t>
      </w:r>
      <w:r w:rsidR="00DD1F4A" w:rsidRPr="002A2AB8">
        <w:rPr>
          <w:rFonts w:ascii="Arial" w:hAnsi="Arial" w:cs="Arial"/>
          <w:sz w:val="24"/>
          <w:szCs w:val="24"/>
        </w:rPr>
        <w:t xml:space="preserve">stihdam oranının dönem sonunda yüzde </w:t>
      </w:r>
      <w:r w:rsidR="006B6BE9" w:rsidRPr="002A2AB8">
        <w:rPr>
          <w:rFonts w:ascii="Arial" w:hAnsi="Arial" w:cs="Arial"/>
          <w:sz w:val="24"/>
          <w:szCs w:val="24"/>
        </w:rPr>
        <w:t>47,</w:t>
      </w:r>
      <w:r w:rsidR="00B73056">
        <w:rPr>
          <w:rFonts w:ascii="Arial" w:hAnsi="Arial" w:cs="Arial"/>
          <w:sz w:val="24"/>
          <w:szCs w:val="24"/>
        </w:rPr>
        <w:t>3</w:t>
      </w:r>
      <w:r>
        <w:rPr>
          <w:rFonts w:ascii="Arial" w:hAnsi="Arial" w:cs="Arial"/>
          <w:sz w:val="24"/>
          <w:szCs w:val="24"/>
        </w:rPr>
        <w:t>’e</w:t>
      </w:r>
      <w:r w:rsidR="00DD1F4A" w:rsidRPr="002A2AB8">
        <w:rPr>
          <w:rFonts w:ascii="Arial" w:hAnsi="Arial" w:cs="Arial"/>
          <w:sz w:val="24"/>
          <w:szCs w:val="24"/>
        </w:rPr>
        <w:t xml:space="preserve"> </w:t>
      </w:r>
      <w:r>
        <w:rPr>
          <w:rFonts w:ascii="Arial" w:hAnsi="Arial" w:cs="Arial"/>
          <w:sz w:val="24"/>
          <w:szCs w:val="24"/>
        </w:rPr>
        <w:t>yükselmesi</w:t>
      </w:r>
      <w:r w:rsidR="00DD1F4A" w:rsidRPr="002A2AB8">
        <w:rPr>
          <w:rFonts w:ascii="Arial" w:hAnsi="Arial" w:cs="Arial"/>
          <w:sz w:val="24"/>
          <w:szCs w:val="24"/>
        </w:rPr>
        <w:t xml:space="preserve"> beklenmektedir. Böylece dönem </w:t>
      </w:r>
      <w:r w:rsidR="006B6BE9" w:rsidRPr="002A2AB8">
        <w:rPr>
          <w:rFonts w:ascii="Arial" w:hAnsi="Arial" w:cs="Arial"/>
          <w:sz w:val="24"/>
          <w:szCs w:val="24"/>
        </w:rPr>
        <w:t>sonunda</w:t>
      </w:r>
      <w:r w:rsidR="00DD1F4A" w:rsidRPr="002A2AB8">
        <w:rPr>
          <w:rFonts w:ascii="Arial" w:hAnsi="Arial" w:cs="Arial"/>
          <w:sz w:val="24"/>
          <w:szCs w:val="24"/>
        </w:rPr>
        <w:t xml:space="preserve"> toplam </w:t>
      </w:r>
      <w:r w:rsidR="006B6BE9" w:rsidRPr="002A2AB8">
        <w:rPr>
          <w:rFonts w:ascii="Arial" w:hAnsi="Arial" w:cs="Arial"/>
          <w:sz w:val="24"/>
          <w:szCs w:val="24"/>
        </w:rPr>
        <w:t>27</w:t>
      </w:r>
      <w:r>
        <w:rPr>
          <w:rFonts w:ascii="Arial" w:hAnsi="Arial" w:cs="Arial"/>
          <w:sz w:val="24"/>
          <w:szCs w:val="24"/>
        </w:rPr>
        <w:t>.</w:t>
      </w:r>
      <w:r w:rsidR="00B73056">
        <w:rPr>
          <w:rFonts w:ascii="Arial" w:hAnsi="Arial" w:cs="Arial"/>
          <w:sz w:val="24"/>
          <w:szCs w:val="24"/>
        </w:rPr>
        <w:t>5</w:t>
      </w:r>
      <w:r>
        <w:rPr>
          <w:rFonts w:ascii="Arial" w:hAnsi="Arial" w:cs="Arial"/>
          <w:sz w:val="24"/>
          <w:szCs w:val="24"/>
        </w:rPr>
        <w:t>25</w:t>
      </w:r>
      <w:r w:rsidR="00DD1F4A" w:rsidRPr="002A2AB8">
        <w:rPr>
          <w:rFonts w:ascii="Arial" w:hAnsi="Arial" w:cs="Arial"/>
          <w:sz w:val="24"/>
          <w:szCs w:val="24"/>
        </w:rPr>
        <w:t xml:space="preserve"> </w:t>
      </w:r>
      <w:r>
        <w:rPr>
          <w:rFonts w:ascii="Arial" w:hAnsi="Arial" w:cs="Arial"/>
          <w:sz w:val="24"/>
          <w:szCs w:val="24"/>
        </w:rPr>
        <w:t>bin</w:t>
      </w:r>
      <w:r w:rsidR="00DD1F4A" w:rsidRPr="002A2AB8">
        <w:rPr>
          <w:rFonts w:ascii="Arial" w:hAnsi="Arial" w:cs="Arial"/>
          <w:sz w:val="24"/>
          <w:szCs w:val="24"/>
        </w:rPr>
        <w:t xml:space="preserve"> kişi istihdam edilmiş olacaktır. </w:t>
      </w:r>
    </w:p>
    <w:p w:rsidR="00DD1F4A" w:rsidRPr="00276B6A" w:rsidRDefault="00DD1F4A"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İstihdamda tarım sektörünün ağırlığı</w:t>
      </w:r>
      <w:r w:rsidR="00B344BC" w:rsidRPr="00276B6A">
        <w:rPr>
          <w:rFonts w:ascii="Arial" w:hAnsi="Arial" w:cs="Arial"/>
          <w:sz w:val="24"/>
          <w:szCs w:val="24"/>
        </w:rPr>
        <w:t>nın</w:t>
      </w:r>
      <w:r w:rsidRPr="00276B6A">
        <w:rPr>
          <w:rFonts w:ascii="Arial" w:hAnsi="Arial" w:cs="Arial"/>
          <w:sz w:val="24"/>
          <w:szCs w:val="24"/>
        </w:rPr>
        <w:t xml:space="preserve"> 2013 yılında yüzde </w:t>
      </w:r>
      <w:r w:rsidR="006B6BE9" w:rsidRPr="00276B6A">
        <w:rPr>
          <w:rFonts w:ascii="Arial" w:hAnsi="Arial" w:cs="Arial"/>
          <w:sz w:val="24"/>
          <w:szCs w:val="24"/>
        </w:rPr>
        <w:t>23,6</w:t>
      </w:r>
      <w:r w:rsidRPr="00276B6A">
        <w:rPr>
          <w:rFonts w:ascii="Arial" w:hAnsi="Arial" w:cs="Arial"/>
          <w:sz w:val="24"/>
          <w:szCs w:val="24"/>
        </w:rPr>
        <w:t xml:space="preserve"> olarak gerçekleşmesi beklenirken, dönem sonunda bu oranın yüzde </w:t>
      </w:r>
      <w:r w:rsidR="006B6BE9" w:rsidRPr="00276B6A">
        <w:rPr>
          <w:rFonts w:ascii="Arial" w:hAnsi="Arial" w:cs="Arial"/>
          <w:sz w:val="24"/>
          <w:szCs w:val="24"/>
        </w:rPr>
        <w:t>22</w:t>
      </w:r>
      <w:r w:rsidR="00DE4894">
        <w:rPr>
          <w:rFonts w:ascii="Arial" w:hAnsi="Arial" w:cs="Arial"/>
          <w:sz w:val="24"/>
          <w:szCs w:val="24"/>
        </w:rPr>
        <w:t>,1</w:t>
      </w:r>
      <w:r w:rsidRPr="00276B6A">
        <w:rPr>
          <w:rFonts w:ascii="Arial" w:hAnsi="Arial" w:cs="Arial"/>
          <w:sz w:val="24"/>
          <w:szCs w:val="24"/>
        </w:rPr>
        <w:t xml:space="preserve">’e gerileyeceği tahmin edilmektedir. </w:t>
      </w:r>
    </w:p>
    <w:p w:rsidR="00DD1F4A" w:rsidRPr="00276B6A" w:rsidRDefault="00DD1F4A"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 xml:space="preserve">2013 yılı sonunda yüzde </w:t>
      </w:r>
      <w:r w:rsidR="006B6BE9" w:rsidRPr="00276B6A">
        <w:rPr>
          <w:rFonts w:ascii="Arial" w:hAnsi="Arial" w:cs="Arial"/>
          <w:sz w:val="24"/>
          <w:szCs w:val="24"/>
        </w:rPr>
        <w:t>9,</w:t>
      </w:r>
      <w:r w:rsidR="00DE4894">
        <w:rPr>
          <w:rFonts w:ascii="Arial" w:hAnsi="Arial" w:cs="Arial"/>
          <w:sz w:val="24"/>
          <w:szCs w:val="24"/>
        </w:rPr>
        <w:t>5</w:t>
      </w:r>
      <w:r w:rsidRPr="00276B6A">
        <w:rPr>
          <w:rFonts w:ascii="Arial" w:hAnsi="Arial" w:cs="Arial"/>
          <w:sz w:val="24"/>
          <w:szCs w:val="24"/>
        </w:rPr>
        <w:t xml:space="preserve"> olacağı tahmin edilen işsizlik oranının </w:t>
      </w:r>
      <w:r w:rsidR="00B344BC" w:rsidRPr="00276B6A">
        <w:rPr>
          <w:rFonts w:ascii="Arial" w:hAnsi="Arial" w:cs="Arial"/>
          <w:sz w:val="24"/>
          <w:szCs w:val="24"/>
        </w:rPr>
        <w:t>2016 yılında</w:t>
      </w:r>
      <w:r w:rsidRPr="00276B6A">
        <w:rPr>
          <w:rFonts w:ascii="Arial" w:hAnsi="Arial" w:cs="Arial"/>
          <w:sz w:val="24"/>
          <w:szCs w:val="24"/>
        </w:rPr>
        <w:t xml:space="preserve"> yüzde </w:t>
      </w:r>
      <w:r w:rsidR="00CC01D9">
        <w:rPr>
          <w:rFonts w:ascii="Arial" w:hAnsi="Arial" w:cs="Arial"/>
          <w:sz w:val="24"/>
          <w:szCs w:val="24"/>
        </w:rPr>
        <w:t>8,9</w:t>
      </w:r>
      <w:r w:rsidRPr="00276B6A">
        <w:rPr>
          <w:rFonts w:ascii="Arial" w:hAnsi="Arial" w:cs="Arial"/>
          <w:sz w:val="24"/>
          <w:szCs w:val="24"/>
        </w:rPr>
        <w:t xml:space="preserve"> seviyesine </w:t>
      </w:r>
      <w:r w:rsidR="00B344BC" w:rsidRPr="00276B6A">
        <w:rPr>
          <w:rFonts w:ascii="Arial" w:hAnsi="Arial" w:cs="Arial"/>
          <w:sz w:val="24"/>
          <w:szCs w:val="24"/>
        </w:rPr>
        <w:t>gerileyeceği</w:t>
      </w:r>
      <w:r w:rsidRPr="00276B6A">
        <w:rPr>
          <w:rFonts w:ascii="Arial" w:hAnsi="Arial" w:cs="Arial"/>
          <w:sz w:val="24"/>
          <w:szCs w:val="24"/>
        </w:rPr>
        <w:t xml:space="preserve"> öngörülmektedir. </w:t>
      </w:r>
    </w:p>
    <w:p w:rsidR="00CA522C" w:rsidRPr="00276B6A" w:rsidRDefault="00CA522C" w:rsidP="00D71AD9">
      <w:pPr>
        <w:autoSpaceDE w:val="0"/>
        <w:autoSpaceDN w:val="0"/>
        <w:adjustRightInd w:val="0"/>
        <w:spacing w:after="120" w:line="240" w:lineRule="auto"/>
        <w:ind w:firstLine="708"/>
        <w:jc w:val="both"/>
        <w:rPr>
          <w:rFonts w:ascii="Arial" w:hAnsi="Arial" w:cs="Arial"/>
          <w:b/>
          <w:sz w:val="24"/>
          <w:szCs w:val="24"/>
        </w:rPr>
      </w:pPr>
      <w:r w:rsidRPr="00276B6A">
        <w:rPr>
          <w:rFonts w:ascii="Arial" w:hAnsi="Arial" w:cs="Arial"/>
          <w:b/>
          <w:sz w:val="24"/>
          <w:szCs w:val="24"/>
        </w:rPr>
        <w:t>B. MAKROEKONOMİK POLİTİKALAR</w:t>
      </w:r>
    </w:p>
    <w:p w:rsidR="005B5A74" w:rsidRPr="00B32578" w:rsidRDefault="000C527D" w:rsidP="00D71AD9">
      <w:pPr>
        <w:spacing w:after="120" w:line="240" w:lineRule="auto"/>
        <w:ind w:firstLine="708"/>
        <w:jc w:val="both"/>
        <w:rPr>
          <w:rFonts w:ascii="Arial" w:hAnsi="Arial" w:cs="Arial"/>
          <w:b/>
          <w:sz w:val="24"/>
          <w:szCs w:val="24"/>
        </w:rPr>
      </w:pPr>
      <w:r w:rsidRPr="003F2929">
        <w:rPr>
          <w:rFonts w:ascii="Arial" w:hAnsi="Arial" w:cs="Arial"/>
          <w:b/>
          <w:sz w:val="24"/>
          <w:szCs w:val="24"/>
        </w:rPr>
        <w:t>1. Büyüme</w:t>
      </w:r>
    </w:p>
    <w:p w:rsidR="002A79F6" w:rsidRPr="002F3418" w:rsidRDefault="002A79F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F3418">
        <w:rPr>
          <w:rFonts w:ascii="Arial" w:hAnsi="Arial" w:cs="Arial"/>
          <w:sz w:val="24"/>
          <w:szCs w:val="24"/>
        </w:rPr>
        <w:t xml:space="preserve">Onuncu Kalkınma Planı uzun dönemde potansiyel büyümenin artırılmasına yönelik </w:t>
      </w:r>
      <w:r w:rsidR="008165CC" w:rsidRPr="002F3418">
        <w:rPr>
          <w:rFonts w:ascii="Arial" w:hAnsi="Arial" w:cs="Arial"/>
          <w:sz w:val="24"/>
          <w:szCs w:val="24"/>
        </w:rPr>
        <w:t xml:space="preserve">yapısal </w:t>
      </w:r>
      <w:r w:rsidRPr="002F3418">
        <w:rPr>
          <w:rFonts w:ascii="Arial" w:hAnsi="Arial" w:cs="Arial"/>
          <w:sz w:val="24"/>
          <w:szCs w:val="24"/>
        </w:rPr>
        <w:t>politikaları ortaya koymuştur. OVP döneminde</w:t>
      </w:r>
      <w:r w:rsidR="008165CC" w:rsidRPr="002F3418">
        <w:rPr>
          <w:rFonts w:ascii="Arial" w:hAnsi="Arial" w:cs="Arial"/>
          <w:sz w:val="24"/>
          <w:szCs w:val="24"/>
        </w:rPr>
        <w:t xml:space="preserve"> bir yandan</w:t>
      </w:r>
      <w:r w:rsidRPr="002F3418">
        <w:rPr>
          <w:rFonts w:ascii="Arial" w:hAnsi="Arial" w:cs="Arial"/>
          <w:sz w:val="24"/>
          <w:szCs w:val="24"/>
        </w:rPr>
        <w:t xml:space="preserve"> </w:t>
      </w:r>
      <w:r w:rsidR="008165CC" w:rsidRPr="002F3418">
        <w:rPr>
          <w:rFonts w:ascii="Arial" w:hAnsi="Arial" w:cs="Arial"/>
          <w:sz w:val="24"/>
          <w:szCs w:val="24"/>
        </w:rPr>
        <w:t>bu yapısal politikalar sürdürülecek</w:t>
      </w:r>
      <w:r w:rsidR="00F604E5" w:rsidRPr="006B47B4">
        <w:rPr>
          <w:rFonts w:ascii="Arial" w:hAnsi="Arial" w:cs="Arial"/>
          <w:sz w:val="24"/>
          <w:szCs w:val="24"/>
        </w:rPr>
        <w:t>,</w:t>
      </w:r>
      <w:r w:rsidR="008165CC" w:rsidRPr="002F3418">
        <w:rPr>
          <w:rFonts w:ascii="Arial" w:hAnsi="Arial" w:cs="Arial"/>
          <w:sz w:val="24"/>
          <w:szCs w:val="24"/>
        </w:rPr>
        <w:t xml:space="preserve"> diğer yandan</w:t>
      </w:r>
      <w:r w:rsidRPr="002F3418">
        <w:rPr>
          <w:rFonts w:ascii="Arial" w:hAnsi="Arial" w:cs="Arial"/>
          <w:sz w:val="24"/>
          <w:szCs w:val="24"/>
        </w:rPr>
        <w:t xml:space="preserve"> büyümenin potansiyel seviyelerine doğru yükseltilmesi </w:t>
      </w:r>
      <w:r w:rsidR="008165CC" w:rsidRPr="002F3418">
        <w:rPr>
          <w:rFonts w:ascii="Arial" w:hAnsi="Arial" w:cs="Arial"/>
          <w:sz w:val="24"/>
          <w:szCs w:val="24"/>
        </w:rPr>
        <w:t>için gerekli kısa vadeli politikalar uygulanacaktır</w:t>
      </w:r>
      <w:r w:rsidRPr="002F3418">
        <w:rPr>
          <w:rFonts w:ascii="Arial" w:hAnsi="Arial" w:cs="Arial"/>
          <w:sz w:val="24"/>
          <w:szCs w:val="24"/>
        </w:rPr>
        <w:t>.</w:t>
      </w:r>
    </w:p>
    <w:p w:rsidR="002A79F6" w:rsidRPr="002F3418" w:rsidRDefault="002A79F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F3418">
        <w:rPr>
          <w:rFonts w:ascii="Arial" w:hAnsi="Arial" w:cs="Arial"/>
          <w:sz w:val="24"/>
          <w:szCs w:val="24"/>
        </w:rPr>
        <w:t xml:space="preserve">Program döneminde yüksek büyüme ortamına geçişin sağlanmasında verimliliğin ve tasarrufların artırılması, </w:t>
      </w:r>
      <w:r w:rsidR="00FD203F">
        <w:rPr>
          <w:rFonts w:ascii="Arial" w:hAnsi="Arial" w:cs="Arial"/>
          <w:sz w:val="24"/>
          <w:szCs w:val="24"/>
        </w:rPr>
        <w:t xml:space="preserve">iş ve </w:t>
      </w:r>
      <w:r w:rsidRPr="002F3418">
        <w:rPr>
          <w:rFonts w:ascii="Arial" w:hAnsi="Arial" w:cs="Arial"/>
          <w:sz w:val="24"/>
          <w:szCs w:val="24"/>
        </w:rPr>
        <w:t xml:space="preserve">yatırım </w:t>
      </w:r>
      <w:r w:rsidRPr="00FD203F">
        <w:rPr>
          <w:rFonts w:ascii="Arial" w:hAnsi="Arial" w:cs="Arial"/>
          <w:sz w:val="24"/>
          <w:szCs w:val="24"/>
        </w:rPr>
        <w:t>ortamı</w:t>
      </w:r>
      <w:r w:rsidR="00FD203F" w:rsidRPr="00FD203F">
        <w:rPr>
          <w:rFonts w:ascii="Arial" w:hAnsi="Arial" w:cs="Arial"/>
          <w:sz w:val="24"/>
          <w:szCs w:val="24"/>
        </w:rPr>
        <w:t>nın</w:t>
      </w:r>
      <w:r w:rsidRPr="00FD203F">
        <w:rPr>
          <w:rFonts w:ascii="Arial" w:hAnsi="Arial" w:cs="Arial"/>
          <w:sz w:val="24"/>
          <w:szCs w:val="24"/>
        </w:rPr>
        <w:t xml:space="preserve"> iyileştirilmesi</w:t>
      </w:r>
      <w:r w:rsidR="00FD203F" w:rsidRPr="00FD203F">
        <w:rPr>
          <w:rFonts w:ascii="Arial" w:hAnsi="Arial" w:cs="Arial"/>
          <w:sz w:val="24"/>
          <w:szCs w:val="24"/>
        </w:rPr>
        <w:t>,</w:t>
      </w:r>
      <w:r w:rsidRPr="00FD203F">
        <w:rPr>
          <w:rFonts w:ascii="Arial" w:hAnsi="Arial" w:cs="Arial"/>
          <w:sz w:val="24"/>
          <w:szCs w:val="24"/>
        </w:rPr>
        <w:t xml:space="preserve"> </w:t>
      </w:r>
      <w:r w:rsidR="00FD203F" w:rsidRPr="00FD203F">
        <w:rPr>
          <w:rFonts w:ascii="Arial" w:hAnsi="Arial" w:cs="Arial"/>
          <w:sz w:val="24"/>
          <w:szCs w:val="24"/>
        </w:rPr>
        <w:t xml:space="preserve">işgücü piyasasının etkinleştirilmesi </w:t>
      </w:r>
      <w:r w:rsidRPr="00FD203F">
        <w:rPr>
          <w:rFonts w:ascii="Arial" w:hAnsi="Arial" w:cs="Arial"/>
          <w:sz w:val="24"/>
          <w:szCs w:val="24"/>
        </w:rPr>
        <w:t>ve özel yatırımların canlandırılması kritik</w:t>
      </w:r>
      <w:r w:rsidRPr="002F3418">
        <w:rPr>
          <w:rFonts w:ascii="Arial" w:hAnsi="Arial" w:cs="Arial"/>
          <w:sz w:val="24"/>
          <w:szCs w:val="24"/>
        </w:rPr>
        <w:t xml:space="preserve"> önem taşımaktadır. Bununla birlikte, daha uzun vadede potansiyel büyümenin artırılması hedefi doğrultusunda kaynakların üretken alanlara yönlendirilmesi ve sanayileşme süreci</w:t>
      </w:r>
      <w:r w:rsidR="00075280" w:rsidRPr="002F3418">
        <w:rPr>
          <w:rFonts w:ascii="Arial" w:hAnsi="Arial" w:cs="Arial"/>
          <w:sz w:val="24"/>
          <w:szCs w:val="24"/>
        </w:rPr>
        <w:t>nin</w:t>
      </w:r>
      <w:r w:rsidRPr="002F3418">
        <w:rPr>
          <w:rFonts w:ascii="Arial" w:hAnsi="Arial" w:cs="Arial"/>
          <w:sz w:val="24"/>
          <w:szCs w:val="24"/>
        </w:rPr>
        <w:t xml:space="preserve"> güçlendiril</w:t>
      </w:r>
      <w:r w:rsidR="00075280" w:rsidRPr="002F3418">
        <w:rPr>
          <w:rFonts w:ascii="Arial" w:hAnsi="Arial" w:cs="Arial"/>
          <w:sz w:val="24"/>
          <w:szCs w:val="24"/>
        </w:rPr>
        <w:t>mesi gereği bulunmaktadır</w:t>
      </w:r>
      <w:r w:rsidRPr="002F3418">
        <w:rPr>
          <w:rFonts w:ascii="Arial" w:hAnsi="Arial" w:cs="Arial"/>
          <w:sz w:val="24"/>
          <w:szCs w:val="24"/>
        </w:rPr>
        <w:t xml:space="preserve">. Bu </w:t>
      </w:r>
      <w:r w:rsidR="00075280" w:rsidRPr="002F3418">
        <w:rPr>
          <w:rFonts w:ascii="Arial" w:hAnsi="Arial" w:cs="Arial"/>
          <w:sz w:val="24"/>
          <w:szCs w:val="24"/>
        </w:rPr>
        <w:t xml:space="preserve">şekilde </w:t>
      </w:r>
      <w:r w:rsidRPr="002F3418">
        <w:rPr>
          <w:rFonts w:ascii="Arial" w:hAnsi="Arial" w:cs="Arial"/>
          <w:sz w:val="24"/>
          <w:szCs w:val="24"/>
        </w:rPr>
        <w:t>istikrarlı verimlilik artışları sağlanarak ve rekabetçi üretim yapısı desteklenerek cari açık sürdürülebilir düzeylere indiril</w:t>
      </w:r>
      <w:r w:rsidR="00075280" w:rsidRPr="002F3418">
        <w:rPr>
          <w:rFonts w:ascii="Arial" w:hAnsi="Arial" w:cs="Arial"/>
          <w:sz w:val="24"/>
          <w:szCs w:val="24"/>
        </w:rPr>
        <w:t>ebilecektir</w:t>
      </w:r>
      <w:r w:rsidRPr="002F3418">
        <w:rPr>
          <w:rFonts w:ascii="Arial" w:hAnsi="Arial" w:cs="Arial"/>
          <w:sz w:val="24"/>
          <w:szCs w:val="24"/>
        </w:rPr>
        <w:t>. Büyümenin kapsayıcılığı ve sürdürülebilirliği açısından ise bir taraftan işgücü piyasası politikaları</w:t>
      </w:r>
      <w:r w:rsidR="00075280" w:rsidRPr="002F3418">
        <w:rPr>
          <w:rFonts w:ascii="Arial" w:hAnsi="Arial" w:cs="Arial"/>
          <w:sz w:val="24"/>
          <w:szCs w:val="24"/>
        </w:rPr>
        <w:t>nın</w:t>
      </w:r>
      <w:r w:rsidRPr="002F3418">
        <w:rPr>
          <w:rFonts w:ascii="Arial" w:hAnsi="Arial" w:cs="Arial"/>
          <w:sz w:val="24"/>
          <w:szCs w:val="24"/>
        </w:rPr>
        <w:t xml:space="preserve"> güçlendiril</w:t>
      </w:r>
      <w:r w:rsidR="00075280" w:rsidRPr="002F3418">
        <w:rPr>
          <w:rFonts w:ascii="Arial" w:hAnsi="Arial" w:cs="Arial"/>
          <w:sz w:val="24"/>
          <w:szCs w:val="24"/>
        </w:rPr>
        <w:t>mesine</w:t>
      </w:r>
      <w:r w:rsidRPr="002F3418">
        <w:rPr>
          <w:rFonts w:ascii="Arial" w:hAnsi="Arial" w:cs="Arial"/>
          <w:sz w:val="24"/>
          <w:szCs w:val="24"/>
        </w:rPr>
        <w:t>, diğer taraftan</w:t>
      </w:r>
      <w:r w:rsidR="00075280" w:rsidRPr="002F3418">
        <w:rPr>
          <w:rFonts w:ascii="Arial" w:hAnsi="Arial" w:cs="Arial"/>
          <w:sz w:val="24"/>
          <w:szCs w:val="24"/>
        </w:rPr>
        <w:t xml:space="preserve"> ise</w:t>
      </w:r>
      <w:r w:rsidRPr="002F3418">
        <w:rPr>
          <w:rFonts w:ascii="Arial" w:hAnsi="Arial" w:cs="Arial"/>
          <w:sz w:val="24"/>
          <w:szCs w:val="24"/>
        </w:rPr>
        <w:t xml:space="preserve"> bölgelerin gelişme potansiyellerinin harekete geçirilmesine yönelik politikalara </w:t>
      </w:r>
      <w:r w:rsidR="00075280" w:rsidRPr="002F3418">
        <w:rPr>
          <w:rFonts w:ascii="Arial" w:hAnsi="Arial" w:cs="Arial"/>
          <w:sz w:val="24"/>
          <w:szCs w:val="24"/>
        </w:rPr>
        <w:t>ihtiyaç bulunmaktadır</w:t>
      </w:r>
      <w:r w:rsidRPr="002F3418">
        <w:rPr>
          <w:rFonts w:ascii="Arial" w:hAnsi="Arial" w:cs="Arial"/>
          <w:sz w:val="24"/>
          <w:szCs w:val="24"/>
        </w:rPr>
        <w:t>.</w:t>
      </w:r>
    </w:p>
    <w:p w:rsidR="00813D02" w:rsidRPr="00B32578" w:rsidRDefault="002A79F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F3418">
        <w:rPr>
          <w:rFonts w:ascii="Arial" w:hAnsi="Arial" w:cs="Arial"/>
          <w:sz w:val="24"/>
          <w:szCs w:val="24"/>
        </w:rPr>
        <w:t xml:space="preserve">Program döneminde büyümenin daha dengeli bir yapıya kavuşturulması hedeflenmektedir. </w:t>
      </w:r>
      <w:r w:rsidR="00075280" w:rsidRPr="002F3418">
        <w:rPr>
          <w:rFonts w:ascii="Arial" w:hAnsi="Arial" w:cs="Arial"/>
          <w:sz w:val="24"/>
          <w:szCs w:val="24"/>
        </w:rPr>
        <w:t xml:space="preserve"> Bunun için, </w:t>
      </w:r>
      <w:r w:rsidRPr="002F3418">
        <w:rPr>
          <w:rFonts w:ascii="Arial" w:hAnsi="Arial" w:cs="Arial"/>
          <w:sz w:val="24"/>
          <w:szCs w:val="24"/>
        </w:rPr>
        <w:t>istihdam ve özellikle verimliliğin büyümeye katkılarının artırılması önem taşımaktadır. Bu sayede, büyüme</w:t>
      </w:r>
      <w:r w:rsidR="00075280" w:rsidRPr="002F3418">
        <w:rPr>
          <w:rFonts w:ascii="Arial" w:hAnsi="Arial" w:cs="Arial"/>
          <w:sz w:val="24"/>
          <w:szCs w:val="24"/>
        </w:rPr>
        <w:t xml:space="preserve"> </w:t>
      </w:r>
      <w:r w:rsidRPr="002F3418">
        <w:rPr>
          <w:rFonts w:ascii="Arial" w:hAnsi="Arial" w:cs="Arial"/>
          <w:sz w:val="24"/>
          <w:szCs w:val="24"/>
        </w:rPr>
        <w:t>daha kapsayıcı</w:t>
      </w:r>
      <w:r w:rsidR="00075280" w:rsidRPr="002F3418">
        <w:rPr>
          <w:rFonts w:ascii="Arial" w:hAnsi="Arial" w:cs="Arial"/>
          <w:sz w:val="24"/>
          <w:szCs w:val="24"/>
        </w:rPr>
        <w:t xml:space="preserve"> ve istikrarlı hale gelirken, </w:t>
      </w:r>
      <w:r w:rsidRPr="002F3418">
        <w:rPr>
          <w:rFonts w:ascii="Arial" w:hAnsi="Arial" w:cs="Arial"/>
          <w:sz w:val="24"/>
          <w:szCs w:val="24"/>
        </w:rPr>
        <w:t xml:space="preserve">toplumun tüm kesimleri </w:t>
      </w:r>
      <w:r w:rsidR="00075280" w:rsidRPr="002F3418">
        <w:rPr>
          <w:rFonts w:ascii="Arial" w:hAnsi="Arial" w:cs="Arial"/>
          <w:sz w:val="24"/>
          <w:szCs w:val="24"/>
        </w:rPr>
        <w:t xml:space="preserve">de </w:t>
      </w:r>
      <w:r w:rsidRPr="002F3418">
        <w:rPr>
          <w:rFonts w:ascii="Arial" w:hAnsi="Arial" w:cs="Arial"/>
          <w:sz w:val="24"/>
          <w:szCs w:val="24"/>
        </w:rPr>
        <w:t>büyümeden faydalan</w:t>
      </w:r>
      <w:r w:rsidR="00075280" w:rsidRPr="002F3418">
        <w:rPr>
          <w:rFonts w:ascii="Arial" w:hAnsi="Arial" w:cs="Arial"/>
          <w:sz w:val="24"/>
          <w:szCs w:val="24"/>
        </w:rPr>
        <w:t>abilecektir</w:t>
      </w:r>
      <w:r w:rsidRPr="002F3418">
        <w:rPr>
          <w:rFonts w:ascii="Arial" w:hAnsi="Arial" w:cs="Arial"/>
          <w:sz w:val="24"/>
          <w:szCs w:val="24"/>
        </w:rPr>
        <w:t xml:space="preserve">. </w:t>
      </w:r>
    </w:p>
    <w:p w:rsidR="00CA522C" w:rsidRPr="002F3418" w:rsidRDefault="00F94E33"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Makroekonomik istikrarın güçle</w:t>
      </w:r>
      <w:r w:rsidR="007C1DF4">
        <w:rPr>
          <w:rFonts w:ascii="Arial" w:hAnsi="Arial" w:cs="Arial"/>
          <w:sz w:val="24"/>
          <w:szCs w:val="24"/>
        </w:rPr>
        <w:t xml:space="preserve">ndirilerek korunması </w:t>
      </w:r>
      <w:r>
        <w:rPr>
          <w:rFonts w:ascii="Arial" w:hAnsi="Arial" w:cs="Arial"/>
          <w:sz w:val="24"/>
          <w:szCs w:val="24"/>
        </w:rPr>
        <w:t xml:space="preserve">amacıyla </w:t>
      </w:r>
      <w:r w:rsidR="00CA522C" w:rsidRPr="00276B6A">
        <w:rPr>
          <w:rFonts w:ascii="Arial" w:hAnsi="Arial" w:cs="Arial"/>
          <w:sz w:val="24"/>
          <w:szCs w:val="24"/>
        </w:rPr>
        <w:t xml:space="preserve">para, </w:t>
      </w:r>
      <w:r w:rsidR="006B47B4">
        <w:rPr>
          <w:rFonts w:ascii="Arial" w:hAnsi="Arial" w:cs="Arial"/>
          <w:sz w:val="24"/>
          <w:szCs w:val="24"/>
        </w:rPr>
        <w:t xml:space="preserve">finansal sektör, </w:t>
      </w:r>
      <w:r w:rsidR="00CA522C" w:rsidRPr="00276B6A">
        <w:rPr>
          <w:rFonts w:ascii="Arial" w:hAnsi="Arial" w:cs="Arial"/>
          <w:sz w:val="24"/>
          <w:szCs w:val="24"/>
        </w:rPr>
        <w:t>maliye ve gelirler politikaları eşgüdüm içerisinde yürütülecektir</w:t>
      </w:r>
      <w:r w:rsidR="00124F94" w:rsidRPr="00276B6A">
        <w:rPr>
          <w:rFonts w:ascii="Arial" w:hAnsi="Arial" w:cs="Arial"/>
          <w:sz w:val="24"/>
          <w:szCs w:val="24"/>
        </w:rPr>
        <w:t>.</w:t>
      </w:r>
    </w:p>
    <w:p w:rsidR="00124F94" w:rsidRPr="002F3418" w:rsidRDefault="00FA08A0"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FA08A0">
        <w:rPr>
          <w:rFonts w:ascii="Arial" w:hAnsi="Arial" w:cs="Arial"/>
          <w:sz w:val="24"/>
          <w:szCs w:val="24"/>
        </w:rPr>
        <w:t>Orta vadede s</w:t>
      </w:r>
      <w:r w:rsidR="00124F94" w:rsidRPr="00FA08A0">
        <w:rPr>
          <w:rFonts w:ascii="Arial" w:hAnsi="Arial" w:cs="Arial"/>
          <w:sz w:val="24"/>
          <w:szCs w:val="24"/>
        </w:rPr>
        <w:t>anayi sektöründe enerji, ulaşım</w:t>
      </w:r>
      <w:r w:rsidRPr="00FA08A0">
        <w:rPr>
          <w:rFonts w:ascii="Arial" w:hAnsi="Arial" w:cs="Arial"/>
          <w:sz w:val="24"/>
          <w:szCs w:val="24"/>
        </w:rPr>
        <w:t xml:space="preserve"> </w:t>
      </w:r>
      <w:r w:rsidR="00E418E0" w:rsidRPr="00FA08A0">
        <w:rPr>
          <w:rFonts w:ascii="Arial" w:hAnsi="Arial" w:cs="Arial"/>
          <w:sz w:val="24"/>
          <w:szCs w:val="24"/>
        </w:rPr>
        <w:t>ve</w:t>
      </w:r>
      <w:r w:rsidR="00124F94" w:rsidRPr="00FA08A0">
        <w:rPr>
          <w:rFonts w:ascii="Arial" w:hAnsi="Arial" w:cs="Arial"/>
          <w:sz w:val="24"/>
          <w:szCs w:val="24"/>
        </w:rPr>
        <w:t xml:space="preserve"> işgücü </w:t>
      </w:r>
      <w:r w:rsidR="00E418E0" w:rsidRPr="00FA08A0">
        <w:rPr>
          <w:rFonts w:ascii="Arial" w:hAnsi="Arial" w:cs="Arial"/>
          <w:sz w:val="24"/>
          <w:szCs w:val="24"/>
        </w:rPr>
        <w:t xml:space="preserve">gibi </w:t>
      </w:r>
      <w:r w:rsidR="00124F94" w:rsidRPr="00FA08A0">
        <w:rPr>
          <w:rFonts w:ascii="Arial" w:hAnsi="Arial" w:cs="Arial"/>
          <w:sz w:val="24"/>
          <w:szCs w:val="24"/>
        </w:rPr>
        <w:t>ü</w:t>
      </w:r>
      <w:r w:rsidRPr="00FA08A0">
        <w:rPr>
          <w:rFonts w:ascii="Arial" w:hAnsi="Arial" w:cs="Arial"/>
          <w:sz w:val="24"/>
          <w:szCs w:val="24"/>
        </w:rPr>
        <w:t>retim maliyetlerinin düşürülmesine yönelik tedbirler alınacaktır</w:t>
      </w:r>
      <w:r w:rsidR="00124F94" w:rsidRPr="00FA08A0">
        <w:rPr>
          <w:rFonts w:ascii="Arial" w:hAnsi="Arial" w:cs="Arial"/>
          <w:sz w:val="24"/>
          <w:szCs w:val="24"/>
        </w:rPr>
        <w:t xml:space="preserve">. </w:t>
      </w:r>
    </w:p>
    <w:p w:rsidR="00605B7A" w:rsidRPr="002F3418" w:rsidRDefault="00124F94"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Yurt</w:t>
      </w:r>
      <w:r w:rsidR="00994C34">
        <w:rPr>
          <w:rFonts w:ascii="Arial" w:hAnsi="Arial" w:cs="Arial"/>
          <w:sz w:val="24"/>
          <w:szCs w:val="24"/>
        </w:rPr>
        <w:t xml:space="preserve"> </w:t>
      </w:r>
      <w:r w:rsidRPr="00276B6A">
        <w:rPr>
          <w:rFonts w:ascii="Arial" w:hAnsi="Arial" w:cs="Arial"/>
          <w:sz w:val="24"/>
          <w:szCs w:val="24"/>
        </w:rPr>
        <w:t xml:space="preserve">içinde üretilen </w:t>
      </w:r>
      <w:r w:rsidR="00046153">
        <w:rPr>
          <w:rFonts w:ascii="Arial" w:hAnsi="Arial" w:cs="Arial"/>
          <w:sz w:val="24"/>
          <w:szCs w:val="24"/>
        </w:rPr>
        <w:t>ara malların</w:t>
      </w:r>
      <w:r w:rsidR="00605B7A">
        <w:rPr>
          <w:rFonts w:ascii="Arial" w:hAnsi="Arial" w:cs="Arial"/>
          <w:sz w:val="24"/>
          <w:szCs w:val="24"/>
        </w:rPr>
        <w:t xml:space="preserve"> </w:t>
      </w:r>
      <w:r w:rsidR="00046153">
        <w:rPr>
          <w:rFonts w:ascii="Arial" w:hAnsi="Arial" w:cs="Arial"/>
          <w:sz w:val="24"/>
          <w:szCs w:val="24"/>
        </w:rPr>
        <w:t>standar</w:t>
      </w:r>
      <w:r w:rsidR="00605B7A">
        <w:rPr>
          <w:rFonts w:ascii="Arial" w:hAnsi="Arial" w:cs="Arial"/>
          <w:sz w:val="24"/>
          <w:szCs w:val="24"/>
        </w:rPr>
        <w:t>dının</w:t>
      </w:r>
      <w:r w:rsidR="00046153">
        <w:rPr>
          <w:rFonts w:ascii="Arial" w:hAnsi="Arial" w:cs="Arial"/>
          <w:sz w:val="24"/>
          <w:szCs w:val="24"/>
        </w:rPr>
        <w:t>,</w:t>
      </w:r>
      <w:r w:rsidR="00FA08A0">
        <w:rPr>
          <w:rFonts w:ascii="Arial" w:hAnsi="Arial" w:cs="Arial"/>
          <w:sz w:val="24"/>
          <w:szCs w:val="24"/>
        </w:rPr>
        <w:t xml:space="preserve"> kalite</w:t>
      </w:r>
      <w:r w:rsidR="00605B7A">
        <w:rPr>
          <w:rFonts w:ascii="Arial" w:hAnsi="Arial" w:cs="Arial"/>
          <w:sz w:val="24"/>
          <w:szCs w:val="24"/>
        </w:rPr>
        <w:t>sinin</w:t>
      </w:r>
      <w:r w:rsidR="00046153">
        <w:rPr>
          <w:rFonts w:ascii="Arial" w:hAnsi="Arial" w:cs="Arial"/>
          <w:sz w:val="24"/>
          <w:szCs w:val="24"/>
        </w:rPr>
        <w:t xml:space="preserve"> ve teknoloji seviyesinin</w:t>
      </w:r>
      <w:r w:rsidRPr="00276B6A">
        <w:rPr>
          <w:rFonts w:ascii="Arial" w:hAnsi="Arial" w:cs="Arial"/>
          <w:sz w:val="24"/>
          <w:szCs w:val="24"/>
        </w:rPr>
        <w:t xml:space="preserve"> yükseltilmesi desteklenecek</w:t>
      </w:r>
      <w:r w:rsidR="00605B7A">
        <w:rPr>
          <w:rFonts w:ascii="Arial" w:hAnsi="Arial" w:cs="Arial"/>
          <w:sz w:val="24"/>
          <w:szCs w:val="24"/>
        </w:rPr>
        <w:t>tir.</w:t>
      </w:r>
    </w:p>
    <w:p w:rsidR="00124F94" w:rsidRPr="002F3418" w:rsidRDefault="00605B7A"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Yurt</w:t>
      </w:r>
      <w:r w:rsidR="00994C34">
        <w:rPr>
          <w:rFonts w:ascii="Arial" w:hAnsi="Arial" w:cs="Arial"/>
          <w:sz w:val="24"/>
          <w:szCs w:val="24"/>
        </w:rPr>
        <w:t xml:space="preserve"> </w:t>
      </w:r>
      <w:r>
        <w:rPr>
          <w:rFonts w:ascii="Arial" w:hAnsi="Arial" w:cs="Arial"/>
          <w:sz w:val="24"/>
          <w:szCs w:val="24"/>
        </w:rPr>
        <w:t>içinde üretilen malların</w:t>
      </w:r>
      <w:r w:rsidR="00046153">
        <w:rPr>
          <w:rFonts w:ascii="Arial" w:hAnsi="Arial" w:cs="Arial"/>
          <w:sz w:val="24"/>
          <w:szCs w:val="24"/>
        </w:rPr>
        <w:t xml:space="preserve"> daha fazla tercih </w:t>
      </w:r>
      <w:r w:rsidR="00A26AAC">
        <w:rPr>
          <w:rFonts w:ascii="Arial" w:hAnsi="Arial" w:cs="Arial"/>
          <w:sz w:val="24"/>
          <w:szCs w:val="24"/>
        </w:rPr>
        <w:t>edilmesi</w:t>
      </w:r>
      <w:r w:rsidR="00046153">
        <w:rPr>
          <w:rFonts w:ascii="Arial" w:hAnsi="Arial" w:cs="Arial"/>
          <w:sz w:val="24"/>
          <w:szCs w:val="24"/>
        </w:rPr>
        <w:t xml:space="preserve"> için </w:t>
      </w:r>
      <w:r w:rsidR="00A26AAC">
        <w:rPr>
          <w:rFonts w:ascii="Arial" w:hAnsi="Arial" w:cs="Arial"/>
          <w:sz w:val="24"/>
          <w:szCs w:val="24"/>
        </w:rPr>
        <w:t xml:space="preserve">tüketicilerin </w:t>
      </w:r>
      <w:r w:rsidR="00124F94" w:rsidRPr="00276B6A">
        <w:rPr>
          <w:rFonts w:ascii="Arial" w:hAnsi="Arial" w:cs="Arial"/>
          <w:sz w:val="24"/>
          <w:szCs w:val="24"/>
        </w:rPr>
        <w:t xml:space="preserve">bilgi ve farkındalık düzeyi artırılacaktır. </w:t>
      </w:r>
    </w:p>
    <w:p w:rsidR="00276B6A" w:rsidRPr="002F3418" w:rsidRDefault="002F1AE1"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Doğal kaynak zenginliği</w:t>
      </w:r>
      <w:r w:rsidR="00124F94" w:rsidRPr="00276B6A">
        <w:rPr>
          <w:rFonts w:ascii="Arial" w:hAnsi="Arial" w:cs="Arial"/>
          <w:sz w:val="24"/>
          <w:szCs w:val="24"/>
        </w:rPr>
        <w:t>nin</w:t>
      </w:r>
      <w:r w:rsidRPr="00276B6A">
        <w:rPr>
          <w:rFonts w:ascii="Arial" w:hAnsi="Arial" w:cs="Arial"/>
          <w:sz w:val="24"/>
          <w:szCs w:val="24"/>
        </w:rPr>
        <w:t xml:space="preserve"> ve tarımsal ürün çeşitliliğinin, teknolojiyle sağlanan yöntemler ve hizmetler yardımıyla üretime ve rekabet avantajına dönüştürülmesine yönelik politikalara ağırlık verilecektir.</w:t>
      </w:r>
    </w:p>
    <w:p w:rsidR="00276B6A" w:rsidRPr="002F3418" w:rsidRDefault="00E96B3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 xml:space="preserve">Hizmetler sektöründe katma değeri yüksek alanların payının ve ihracatının artırılması için bilgi ve iletişim teknolojileri kullanımının yaygınlaştırılması sağlanacaktır. </w:t>
      </w:r>
    </w:p>
    <w:p w:rsidR="00B06B06" w:rsidRPr="002F3418" w:rsidRDefault="00B06B06"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E</w:t>
      </w:r>
      <w:r w:rsidRPr="00276B6A">
        <w:rPr>
          <w:rFonts w:ascii="Arial" w:hAnsi="Arial" w:cs="Arial"/>
          <w:sz w:val="24"/>
          <w:szCs w:val="24"/>
        </w:rPr>
        <w:t xml:space="preserve">konominin enerji yoğunluğunu azaltmak üzere enerji verimliliği çalışmalarına devam edilecektir. </w:t>
      </w:r>
    </w:p>
    <w:p w:rsidR="00D31122" w:rsidRPr="002F3418" w:rsidRDefault="0011735C"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Ar</w:t>
      </w:r>
      <w:r w:rsidR="003C7116">
        <w:rPr>
          <w:rFonts w:ascii="Arial" w:hAnsi="Arial" w:cs="Arial"/>
          <w:sz w:val="24"/>
          <w:szCs w:val="24"/>
        </w:rPr>
        <w:t>-Ge</w:t>
      </w:r>
      <w:r w:rsidRPr="00276B6A">
        <w:rPr>
          <w:rFonts w:ascii="Arial" w:hAnsi="Arial" w:cs="Arial"/>
          <w:sz w:val="24"/>
          <w:szCs w:val="24"/>
        </w:rPr>
        <w:t xml:space="preserve"> tabanlı, yenilikçi ve yük</w:t>
      </w:r>
      <w:r w:rsidR="003C7116">
        <w:rPr>
          <w:rFonts w:ascii="Arial" w:hAnsi="Arial" w:cs="Arial"/>
          <w:sz w:val="24"/>
          <w:szCs w:val="24"/>
        </w:rPr>
        <w:t xml:space="preserve">sek katma değer yaratan üretim </w:t>
      </w:r>
      <w:r w:rsidRPr="00276B6A">
        <w:rPr>
          <w:rFonts w:ascii="Arial" w:hAnsi="Arial" w:cs="Arial"/>
          <w:sz w:val="24"/>
          <w:szCs w:val="24"/>
        </w:rPr>
        <w:t>desteklenecektir</w:t>
      </w:r>
      <w:r w:rsidRPr="00710290">
        <w:rPr>
          <w:rFonts w:ascii="Arial" w:hAnsi="Arial" w:cs="Arial"/>
          <w:sz w:val="24"/>
          <w:szCs w:val="24"/>
        </w:rPr>
        <w:t>.</w:t>
      </w:r>
      <w:r w:rsidR="002A5B3B" w:rsidRPr="002F3418">
        <w:rPr>
          <w:rFonts w:ascii="Arial" w:hAnsi="Arial" w:cs="Arial"/>
          <w:sz w:val="24"/>
          <w:szCs w:val="24"/>
        </w:rPr>
        <w:t xml:space="preserve"> </w:t>
      </w:r>
      <w:r w:rsidR="002A5B3B" w:rsidRPr="00276B6A">
        <w:rPr>
          <w:rFonts w:ascii="Arial" w:hAnsi="Arial" w:cs="Arial"/>
          <w:sz w:val="24"/>
          <w:szCs w:val="24"/>
        </w:rPr>
        <w:t>Bu doğrultuda</w:t>
      </w:r>
      <w:r w:rsidR="003C7116">
        <w:rPr>
          <w:rFonts w:ascii="Arial" w:hAnsi="Arial" w:cs="Arial"/>
          <w:sz w:val="24"/>
          <w:szCs w:val="24"/>
        </w:rPr>
        <w:t>,</w:t>
      </w:r>
      <w:r w:rsidR="002A5B3B" w:rsidRPr="00276B6A">
        <w:rPr>
          <w:rFonts w:ascii="Arial" w:hAnsi="Arial" w:cs="Arial"/>
          <w:sz w:val="24"/>
          <w:szCs w:val="24"/>
        </w:rPr>
        <w:t xml:space="preserve"> Ar-Ge ve yenilik faaliyetleri özel sektör odaklı olacak şekilde artırılacak, elde edilecek çıktıların ticarileş</w:t>
      </w:r>
      <w:r w:rsidR="003C7116">
        <w:rPr>
          <w:rFonts w:ascii="Arial" w:hAnsi="Arial" w:cs="Arial"/>
          <w:sz w:val="24"/>
          <w:szCs w:val="24"/>
        </w:rPr>
        <w:t>tirme ve markalaşma süreçleri</w:t>
      </w:r>
      <w:r w:rsidR="002A5B3B" w:rsidRPr="00276B6A">
        <w:rPr>
          <w:rFonts w:ascii="Arial" w:hAnsi="Arial" w:cs="Arial"/>
          <w:sz w:val="24"/>
          <w:szCs w:val="24"/>
        </w:rPr>
        <w:t xml:space="preserve"> hızlandırıl</w:t>
      </w:r>
      <w:r w:rsidR="003C7116">
        <w:rPr>
          <w:rFonts w:ascii="Arial" w:hAnsi="Arial" w:cs="Arial"/>
          <w:sz w:val="24"/>
          <w:szCs w:val="24"/>
        </w:rPr>
        <w:t>acaktır.</w:t>
      </w:r>
    </w:p>
    <w:p w:rsidR="00276B6A" w:rsidRDefault="002E4048"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K</w:t>
      </w:r>
      <w:r w:rsidR="00D31122" w:rsidRPr="00276B6A">
        <w:rPr>
          <w:rFonts w:ascii="Arial" w:hAnsi="Arial" w:cs="Arial"/>
          <w:sz w:val="24"/>
          <w:szCs w:val="24"/>
        </w:rPr>
        <w:t>amu ve özel kesim yatırımları birbirlerini tamamlayacak şekilde bütüncül bir bakış açısıyla ele alınacaktır.</w:t>
      </w:r>
    </w:p>
    <w:p w:rsidR="009D3844" w:rsidRPr="009D3844" w:rsidRDefault="009D3844"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9D3844">
        <w:rPr>
          <w:rFonts w:ascii="Arial" w:hAnsi="Arial" w:cs="Arial"/>
          <w:sz w:val="24"/>
          <w:szCs w:val="24"/>
        </w:rPr>
        <w:t xml:space="preserve">İmalat sanayiinde başta olmak üzere yeni yatırımların gerçekleştirilmesi, ihracatın artırılması ve teknolojik gelişme için mevcut teşvik politikaları etkin şekilde sürdürülecektir. Uygulama sonuçları ve sektörel gelişmeler yakından takip edilerek, ihtiyaç duyulan alanlarda yatırım teşvik sisteminde gerekli </w:t>
      </w:r>
      <w:proofErr w:type="gramStart"/>
      <w:r w:rsidRPr="009D3844">
        <w:rPr>
          <w:rFonts w:ascii="Arial" w:hAnsi="Arial" w:cs="Arial"/>
          <w:sz w:val="24"/>
          <w:szCs w:val="24"/>
        </w:rPr>
        <w:t>revizyon</w:t>
      </w:r>
      <w:proofErr w:type="gramEnd"/>
      <w:r w:rsidRPr="009D3844">
        <w:rPr>
          <w:rFonts w:ascii="Arial" w:hAnsi="Arial" w:cs="Arial"/>
          <w:sz w:val="24"/>
          <w:szCs w:val="24"/>
        </w:rPr>
        <w:t xml:space="preserve"> yapılacaktır.</w:t>
      </w:r>
    </w:p>
    <w:p w:rsidR="009D3844" w:rsidRPr="009D3844" w:rsidRDefault="009D3844"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9D3844">
        <w:rPr>
          <w:rFonts w:ascii="Arial" w:hAnsi="Arial" w:cs="Arial"/>
          <w:sz w:val="24"/>
          <w:szCs w:val="24"/>
        </w:rPr>
        <w:t>Piyasaların ve rekabet ortamının iyi işlemesi, fikri mülkiyet haklarının korunması, iş ve yatırım ortamının cazip ve öngörülebilir hale gelmesi desteklenerek yerli ve uluslararası doğrudan yatırımların artırılması sağlanacaktır. İş ve yatırım ortamının geliştirilmesi kapsamındaki çalışmalar ortak sorun alanlarına odaklı, daha etkin ve sonuç alıcı bir biçimde sürdürülecektir.</w:t>
      </w:r>
    </w:p>
    <w:p w:rsidR="009D3844" w:rsidRPr="009D3844" w:rsidRDefault="009D3844"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9D3844">
        <w:rPr>
          <w:rFonts w:ascii="Arial" w:hAnsi="Arial" w:cs="Arial"/>
          <w:sz w:val="24"/>
          <w:szCs w:val="24"/>
        </w:rPr>
        <w:t xml:space="preserve">Yatırımcılara ve işletmelere yönelik bürokratik ve hukuki süreçler iyileştirilecek, mevzuat uluslararası standartlara ve en iyi uygulamalara göre güncellenecektir. </w:t>
      </w:r>
    </w:p>
    <w:p w:rsidR="009D3844" w:rsidRPr="009D3844" w:rsidRDefault="009D3844"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9D3844">
        <w:rPr>
          <w:rFonts w:ascii="Arial" w:hAnsi="Arial" w:cs="Arial"/>
          <w:sz w:val="24"/>
          <w:szCs w:val="24"/>
        </w:rPr>
        <w:t xml:space="preserve">Yatırımcılara uygun nitelikte yatırım yeri tahsisi yapabilmek için yeterli arsa üretimi sağlanacak, hazine arazileri başta olmak üzere yatırıma elverişli arazilerin </w:t>
      </w:r>
      <w:proofErr w:type="gramStart"/>
      <w:r w:rsidRPr="009D3844">
        <w:rPr>
          <w:rFonts w:ascii="Arial" w:hAnsi="Arial" w:cs="Arial"/>
          <w:sz w:val="24"/>
          <w:szCs w:val="24"/>
        </w:rPr>
        <w:t>envanteri</w:t>
      </w:r>
      <w:proofErr w:type="gramEnd"/>
      <w:r w:rsidRPr="009D3844">
        <w:rPr>
          <w:rFonts w:ascii="Arial" w:hAnsi="Arial" w:cs="Arial"/>
          <w:sz w:val="24"/>
          <w:szCs w:val="24"/>
        </w:rPr>
        <w:t xml:space="preserve"> çıkarılacak ve tahsis süreçleri etkinleştirilecektir.</w:t>
      </w:r>
    </w:p>
    <w:p w:rsidR="009D3844" w:rsidRPr="009D3844" w:rsidRDefault="009D3844"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9D3844">
        <w:rPr>
          <w:rFonts w:ascii="Arial" w:hAnsi="Arial" w:cs="Arial"/>
          <w:sz w:val="24"/>
          <w:szCs w:val="24"/>
        </w:rPr>
        <w:t>İş ve yatırım ortamının iyileştirilmesine yönelik yaklaşımın bölgesel düzeyde yaygınlaştırılması, geliştirilmesi ve yatırımcının yerel düzeyde desteklenmesi sağlanacaktır.</w:t>
      </w:r>
    </w:p>
    <w:p w:rsidR="00350423" w:rsidRPr="002F3418" w:rsidRDefault="0005793F"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05793F">
        <w:rPr>
          <w:rFonts w:ascii="Arial" w:hAnsi="Arial" w:cs="Arial"/>
          <w:sz w:val="24"/>
          <w:szCs w:val="24"/>
        </w:rPr>
        <w:t>Ulaştırma, lojistik, enerji gibi fiziki kamu altyapı yatırımları; özel kesimde üretim maliyetlerinin azaltılmasını, yeni üretim kapasitelerinin oluşturulmasını, böylece üretimin sağlıklı ve rekabetçi gelişmesini destekleyecek şekilde planlanacak ve yürütülecektir.</w:t>
      </w:r>
    </w:p>
    <w:p w:rsidR="00350423" w:rsidRDefault="00350423"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9C4C9B">
        <w:rPr>
          <w:rFonts w:ascii="Arial" w:hAnsi="Arial" w:cs="Arial"/>
          <w:sz w:val="24"/>
          <w:szCs w:val="24"/>
        </w:rPr>
        <w:t>Vergi ve kredi maliyetlerinin farklılaştırılması gibi araçlarla üretken olmayan yatırımların cazibesi azaltılacak ve tasarruflar üretken alanlarda yatırımlara yönlendirilecektir.</w:t>
      </w:r>
      <w:r w:rsidR="00A20C0A">
        <w:rPr>
          <w:rFonts w:ascii="Arial" w:hAnsi="Arial" w:cs="Arial"/>
          <w:sz w:val="24"/>
          <w:szCs w:val="24"/>
        </w:rPr>
        <w:t xml:space="preserve"> </w:t>
      </w:r>
    </w:p>
    <w:p w:rsidR="00276B6A" w:rsidRPr="002F3418" w:rsidRDefault="008A39B2"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Özelleştirme politikası</w:t>
      </w:r>
      <w:r w:rsidR="0005793F">
        <w:rPr>
          <w:rFonts w:ascii="Arial" w:hAnsi="Arial" w:cs="Arial"/>
          <w:sz w:val="24"/>
          <w:szCs w:val="24"/>
        </w:rPr>
        <w:t>,</w:t>
      </w:r>
      <w:r>
        <w:rPr>
          <w:rFonts w:ascii="Arial" w:hAnsi="Arial" w:cs="Arial"/>
          <w:sz w:val="24"/>
          <w:szCs w:val="24"/>
        </w:rPr>
        <w:t xml:space="preserve"> yurt</w:t>
      </w:r>
      <w:r w:rsidR="00994C34">
        <w:rPr>
          <w:rFonts w:ascii="Arial" w:hAnsi="Arial" w:cs="Arial"/>
          <w:sz w:val="24"/>
          <w:szCs w:val="24"/>
        </w:rPr>
        <w:t xml:space="preserve"> </w:t>
      </w:r>
      <w:r>
        <w:rPr>
          <w:rFonts w:ascii="Arial" w:hAnsi="Arial" w:cs="Arial"/>
          <w:sz w:val="24"/>
          <w:szCs w:val="24"/>
        </w:rPr>
        <w:t xml:space="preserve">içinde üretken alanlara yeni yatırımlar yapılması politikasıyla eşgüdüm içerisinde uygulanacaktır. </w:t>
      </w:r>
    </w:p>
    <w:p w:rsidR="00327CED" w:rsidRPr="002F3418" w:rsidRDefault="0005793F"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Y</w:t>
      </w:r>
      <w:r w:rsidR="00765E02" w:rsidRPr="00276B6A">
        <w:rPr>
          <w:rFonts w:ascii="Arial" w:hAnsi="Arial" w:cs="Arial"/>
          <w:sz w:val="24"/>
          <w:szCs w:val="24"/>
        </w:rPr>
        <w:t>urt</w:t>
      </w:r>
      <w:r w:rsidR="00994C34">
        <w:rPr>
          <w:rFonts w:ascii="Arial" w:hAnsi="Arial" w:cs="Arial"/>
          <w:sz w:val="24"/>
          <w:szCs w:val="24"/>
        </w:rPr>
        <w:t xml:space="preserve"> </w:t>
      </w:r>
      <w:r w:rsidR="00765E02" w:rsidRPr="00276B6A">
        <w:rPr>
          <w:rFonts w:ascii="Arial" w:hAnsi="Arial" w:cs="Arial"/>
          <w:sz w:val="24"/>
          <w:szCs w:val="24"/>
        </w:rPr>
        <w:t>içi kaynaklar</w:t>
      </w:r>
      <w:r w:rsidR="009A3462" w:rsidRPr="00276B6A">
        <w:rPr>
          <w:rFonts w:ascii="Arial" w:hAnsi="Arial" w:cs="Arial"/>
          <w:sz w:val="24"/>
          <w:szCs w:val="24"/>
        </w:rPr>
        <w:t xml:space="preserve">ın </w:t>
      </w:r>
      <w:r w:rsidR="00FB3282">
        <w:rPr>
          <w:rFonts w:ascii="Arial" w:hAnsi="Arial" w:cs="Arial"/>
          <w:sz w:val="24"/>
          <w:szCs w:val="24"/>
        </w:rPr>
        <w:t>büyümenin finansmanın</w:t>
      </w:r>
      <w:r>
        <w:rPr>
          <w:rFonts w:ascii="Arial" w:hAnsi="Arial" w:cs="Arial"/>
          <w:sz w:val="24"/>
          <w:szCs w:val="24"/>
        </w:rPr>
        <w:t>a daha fazla katkı vermesi sağlanacaktır</w:t>
      </w:r>
      <w:r w:rsidR="009A3462" w:rsidRPr="00276B6A">
        <w:rPr>
          <w:rFonts w:ascii="Arial" w:hAnsi="Arial" w:cs="Arial"/>
          <w:sz w:val="24"/>
          <w:szCs w:val="24"/>
        </w:rPr>
        <w:t>.</w:t>
      </w:r>
      <w:r w:rsidR="00765E02" w:rsidRPr="00276B6A">
        <w:rPr>
          <w:rFonts w:ascii="Arial" w:hAnsi="Arial" w:cs="Arial"/>
          <w:sz w:val="24"/>
          <w:szCs w:val="24"/>
        </w:rPr>
        <w:t xml:space="preserve"> </w:t>
      </w:r>
    </w:p>
    <w:p w:rsidR="0003294B" w:rsidRPr="002F3418" w:rsidRDefault="00FB3282"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Harcanabilir</w:t>
      </w:r>
      <w:r w:rsidR="00A20C0A">
        <w:rPr>
          <w:rFonts w:ascii="Arial" w:hAnsi="Arial" w:cs="Arial"/>
          <w:sz w:val="24"/>
          <w:szCs w:val="24"/>
        </w:rPr>
        <w:t xml:space="preserve"> gelir artışıyla uyumlu</w:t>
      </w:r>
      <w:r w:rsidR="00D31122" w:rsidRPr="00276B6A">
        <w:rPr>
          <w:rFonts w:ascii="Arial" w:hAnsi="Arial" w:cs="Arial"/>
          <w:sz w:val="24"/>
          <w:szCs w:val="24"/>
        </w:rPr>
        <w:t xml:space="preserve"> bir özel tüketim yapısının </w:t>
      </w:r>
      <w:r w:rsidR="005739E0">
        <w:rPr>
          <w:rFonts w:ascii="Arial" w:hAnsi="Arial" w:cs="Arial"/>
          <w:sz w:val="24"/>
          <w:szCs w:val="24"/>
        </w:rPr>
        <w:t>oluşmasına</w:t>
      </w:r>
      <w:r w:rsidR="00D31122" w:rsidRPr="00276B6A">
        <w:rPr>
          <w:rFonts w:ascii="Arial" w:hAnsi="Arial" w:cs="Arial"/>
          <w:sz w:val="24"/>
          <w:szCs w:val="24"/>
        </w:rPr>
        <w:t xml:space="preserve"> </w:t>
      </w:r>
      <w:r>
        <w:rPr>
          <w:rFonts w:ascii="Arial" w:hAnsi="Arial" w:cs="Arial"/>
          <w:sz w:val="24"/>
          <w:szCs w:val="24"/>
        </w:rPr>
        <w:t xml:space="preserve">ve böylece </w:t>
      </w:r>
      <w:r w:rsidR="005739E0">
        <w:rPr>
          <w:rFonts w:ascii="Arial" w:hAnsi="Arial" w:cs="Arial"/>
          <w:sz w:val="24"/>
          <w:szCs w:val="24"/>
        </w:rPr>
        <w:t>yurt</w:t>
      </w:r>
      <w:r w:rsidR="00994C34">
        <w:rPr>
          <w:rFonts w:ascii="Arial" w:hAnsi="Arial" w:cs="Arial"/>
          <w:sz w:val="24"/>
          <w:szCs w:val="24"/>
        </w:rPr>
        <w:t xml:space="preserve"> </w:t>
      </w:r>
      <w:r w:rsidR="005739E0">
        <w:rPr>
          <w:rFonts w:ascii="Arial" w:hAnsi="Arial" w:cs="Arial"/>
          <w:sz w:val="24"/>
          <w:szCs w:val="24"/>
        </w:rPr>
        <w:t>içi tasarrufların art</w:t>
      </w:r>
      <w:r>
        <w:rPr>
          <w:rFonts w:ascii="Arial" w:hAnsi="Arial" w:cs="Arial"/>
          <w:sz w:val="24"/>
          <w:szCs w:val="24"/>
        </w:rPr>
        <w:t xml:space="preserve">masına destek verecek yapısal ve </w:t>
      </w:r>
      <w:r w:rsidR="0003294B">
        <w:rPr>
          <w:rFonts w:ascii="Arial" w:hAnsi="Arial" w:cs="Arial"/>
          <w:sz w:val="24"/>
          <w:szCs w:val="24"/>
        </w:rPr>
        <w:t xml:space="preserve">makro </w:t>
      </w:r>
      <w:r w:rsidR="00A20C0A">
        <w:rPr>
          <w:rFonts w:ascii="Arial" w:hAnsi="Arial" w:cs="Arial"/>
          <w:sz w:val="24"/>
          <w:szCs w:val="24"/>
        </w:rPr>
        <w:t>ihtiyati</w:t>
      </w:r>
      <w:r>
        <w:rPr>
          <w:rFonts w:ascii="Arial" w:hAnsi="Arial" w:cs="Arial"/>
          <w:sz w:val="24"/>
          <w:szCs w:val="24"/>
        </w:rPr>
        <w:t xml:space="preserve"> </w:t>
      </w:r>
      <w:r w:rsidR="005739E0">
        <w:rPr>
          <w:rFonts w:ascii="Arial" w:hAnsi="Arial" w:cs="Arial"/>
          <w:sz w:val="24"/>
          <w:szCs w:val="24"/>
        </w:rPr>
        <w:t>tedbirler alınacaktır.</w:t>
      </w:r>
    </w:p>
    <w:p w:rsidR="00350423" w:rsidRPr="002F3418" w:rsidRDefault="00765E02"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327CED">
        <w:rPr>
          <w:rFonts w:ascii="Arial" w:hAnsi="Arial" w:cs="Arial"/>
          <w:sz w:val="24"/>
          <w:szCs w:val="24"/>
        </w:rPr>
        <w:t>Hem kamu hem de özel kesimde israfı azaltmaya yönelik politikalar uygulanacak</w:t>
      </w:r>
      <w:r w:rsidR="00350423">
        <w:rPr>
          <w:rFonts w:ascii="Arial" w:hAnsi="Arial" w:cs="Arial"/>
          <w:sz w:val="24"/>
          <w:szCs w:val="24"/>
        </w:rPr>
        <w:t>tır.</w:t>
      </w:r>
    </w:p>
    <w:p w:rsidR="0003294B" w:rsidRPr="002F3418" w:rsidRDefault="0003294B"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D</w:t>
      </w:r>
      <w:r w:rsidRPr="00276B6A">
        <w:rPr>
          <w:rFonts w:ascii="Arial" w:hAnsi="Arial" w:cs="Arial"/>
          <w:sz w:val="24"/>
          <w:szCs w:val="24"/>
        </w:rPr>
        <w:t>oğal kaynaklar etkin kullanılacak, atıklar ekonomiye kazandırılacaktır.</w:t>
      </w:r>
    </w:p>
    <w:p w:rsidR="00124F94" w:rsidRPr="002F3418" w:rsidRDefault="00316115"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Teknolojik gelişme ve yerli üretimin artırılmasında k</w:t>
      </w:r>
      <w:r w:rsidR="00124F94" w:rsidRPr="00327CED">
        <w:rPr>
          <w:rFonts w:ascii="Arial" w:hAnsi="Arial" w:cs="Arial"/>
          <w:sz w:val="24"/>
          <w:szCs w:val="24"/>
        </w:rPr>
        <w:t>amu alımları</w:t>
      </w:r>
      <w:r>
        <w:rPr>
          <w:rFonts w:ascii="Arial" w:hAnsi="Arial" w:cs="Arial"/>
          <w:sz w:val="24"/>
          <w:szCs w:val="24"/>
        </w:rPr>
        <w:t xml:space="preserve"> etkin bir araç olarak kullanılacaktır. </w:t>
      </w:r>
    </w:p>
    <w:p w:rsidR="00A04920" w:rsidRPr="002F3418" w:rsidRDefault="00D31122"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A04920">
        <w:rPr>
          <w:rFonts w:ascii="Arial" w:hAnsi="Arial" w:cs="Arial"/>
          <w:sz w:val="24"/>
          <w:szCs w:val="24"/>
        </w:rPr>
        <w:t xml:space="preserve">KOBİ’lerin Ar-Ge, yenilik ve ihracat </w:t>
      </w:r>
      <w:r w:rsidR="00A04920" w:rsidRPr="00A04920">
        <w:rPr>
          <w:rFonts w:ascii="Arial" w:hAnsi="Arial" w:cs="Arial"/>
          <w:sz w:val="24"/>
          <w:szCs w:val="24"/>
        </w:rPr>
        <w:t xml:space="preserve">yapabilme </w:t>
      </w:r>
      <w:r w:rsidRPr="00A04920">
        <w:rPr>
          <w:rFonts w:ascii="Arial" w:hAnsi="Arial" w:cs="Arial"/>
          <w:sz w:val="24"/>
          <w:szCs w:val="24"/>
        </w:rPr>
        <w:t xml:space="preserve">kapasiteleri geliştirilerek </w:t>
      </w:r>
      <w:proofErr w:type="spellStart"/>
      <w:r w:rsidRPr="00A04920">
        <w:rPr>
          <w:rFonts w:ascii="Arial" w:hAnsi="Arial" w:cs="Arial"/>
          <w:sz w:val="24"/>
          <w:szCs w:val="24"/>
        </w:rPr>
        <w:t>uluslararasılaşma</w:t>
      </w:r>
      <w:proofErr w:type="spellEnd"/>
      <w:r w:rsidRPr="00A04920">
        <w:rPr>
          <w:rFonts w:ascii="Arial" w:hAnsi="Arial" w:cs="Arial"/>
          <w:sz w:val="24"/>
          <w:szCs w:val="24"/>
        </w:rPr>
        <w:t xml:space="preserve"> düzeyleri artırılacaktır. KOBİ’lerin markalaşmaları, kurumsallaşmaları ve yenilikçi iş modelleri geliştirmeleri sağlanacaktır.</w:t>
      </w:r>
    </w:p>
    <w:p w:rsidR="00B03DBA" w:rsidRPr="002F3418" w:rsidRDefault="00275299"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 xml:space="preserve">Organize </w:t>
      </w:r>
      <w:r w:rsidR="003E3011">
        <w:rPr>
          <w:rFonts w:ascii="Arial" w:hAnsi="Arial" w:cs="Arial"/>
          <w:sz w:val="24"/>
          <w:szCs w:val="24"/>
        </w:rPr>
        <w:t>s</w:t>
      </w:r>
      <w:r w:rsidRPr="00276B6A">
        <w:rPr>
          <w:rFonts w:ascii="Arial" w:hAnsi="Arial" w:cs="Arial"/>
          <w:sz w:val="24"/>
          <w:szCs w:val="24"/>
        </w:rPr>
        <w:t xml:space="preserve">anayi </w:t>
      </w:r>
      <w:r w:rsidR="003E3011">
        <w:rPr>
          <w:rFonts w:ascii="Arial" w:hAnsi="Arial" w:cs="Arial"/>
          <w:sz w:val="24"/>
          <w:szCs w:val="24"/>
        </w:rPr>
        <w:t>b</w:t>
      </w:r>
      <w:r w:rsidRPr="00276B6A">
        <w:rPr>
          <w:rFonts w:ascii="Arial" w:hAnsi="Arial" w:cs="Arial"/>
          <w:sz w:val="24"/>
          <w:szCs w:val="24"/>
        </w:rPr>
        <w:t>ölgeleri</w:t>
      </w:r>
      <w:r w:rsidR="002A5B3B" w:rsidRPr="00276B6A">
        <w:rPr>
          <w:rFonts w:ascii="Arial" w:hAnsi="Arial" w:cs="Arial"/>
          <w:sz w:val="24"/>
          <w:szCs w:val="24"/>
        </w:rPr>
        <w:t xml:space="preserve">, </w:t>
      </w:r>
      <w:r w:rsidR="003E3011" w:rsidRPr="00276B6A">
        <w:rPr>
          <w:rFonts w:ascii="Arial" w:hAnsi="Arial" w:cs="Arial"/>
          <w:sz w:val="24"/>
          <w:szCs w:val="24"/>
        </w:rPr>
        <w:t>teknoloji geliştirme bölgeleri</w:t>
      </w:r>
      <w:r w:rsidR="002A5B3B" w:rsidRPr="00276B6A">
        <w:rPr>
          <w:rFonts w:ascii="Arial" w:hAnsi="Arial" w:cs="Arial"/>
          <w:sz w:val="24"/>
          <w:szCs w:val="24"/>
        </w:rPr>
        <w:t xml:space="preserve">, </w:t>
      </w:r>
      <w:r w:rsidR="003E3011" w:rsidRPr="00276B6A">
        <w:rPr>
          <w:rFonts w:ascii="Arial" w:hAnsi="Arial" w:cs="Arial"/>
          <w:sz w:val="24"/>
          <w:szCs w:val="24"/>
        </w:rPr>
        <w:t xml:space="preserve">küçük sanayi siteleri </w:t>
      </w:r>
      <w:r w:rsidR="002A5B3B" w:rsidRPr="00276B6A">
        <w:rPr>
          <w:rFonts w:ascii="Arial" w:hAnsi="Arial" w:cs="Arial"/>
          <w:sz w:val="24"/>
          <w:szCs w:val="24"/>
        </w:rPr>
        <w:t xml:space="preserve">ve </w:t>
      </w:r>
      <w:r w:rsidR="003E3011" w:rsidRPr="00276B6A">
        <w:rPr>
          <w:rFonts w:ascii="Arial" w:hAnsi="Arial" w:cs="Arial"/>
          <w:sz w:val="24"/>
          <w:szCs w:val="24"/>
        </w:rPr>
        <w:t>endüstri bölgeleri</w:t>
      </w:r>
      <w:r w:rsidR="002A5B3B" w:rsidRPr="00276B6A">
        <w:rPr>
          <w:rFonts w:ascii="Arial" w:hAnsi="Arial" w:cs="Arial"/>
          <w:sz w:val="24"/>
          <w:szCs w:val="24"/>
        </w:rPr>
        <w:t xml:space="preserve"> uygulamaları geliştirilecek</w:t>
      </w:r>
      <w:r w:rsidR="003E3011">
        <w:rPr>
          <w:rFonts w:ascii="Arial" w:hAnsi="Arial" w:cs="Arial"/>
          <w:sz w:val="24"/>
          <w:szCs w:val="24"/>
        </w:rPr>
        <w:t>;</w:t>
      </w:r>
      <w:r w:rsidR="002A5B3B" w:rsidRPr="00276B6A">
        <w:rPr>
          <w:rFonts w:ascii="Arial" w:hAnsi="Arial" w:cs="Arial"/>
          <w:sz w:val="24"/>
          <w:szCs w:val="24"/>
        </w:rPr>
        <w:t xml:space="preserve"> kuluçka</w:t>
      </w:r>
      <w:r w:rsidR="003E3011">
        <w:rPr>
          <w:rFonts w:ascii="Arial" w:hAnsi="Arial" w:cs="Arial"/>
          <w:sz w:val="24"/>
          <w:szCs w:val="24"/>
        </w:rPr>
        <w:t xml:space="preserve"> ve</w:t>
      </w:r>
      <w:r w:rsidR="002A5B3B" w:rsidRPr="00276B6A">
        <w:rPr>
          <w:rFonts w:ascii="Arial" w:hAnsi="Arial" w:cs="Arial"/>
          <w:sz w:val="24"/>
          <w:szCs w:val="24"/>
        </w:rPr>
        <w:t xml:space="preserve"> iş geliştirme merkezleri</w:t>
      </w:r>
      <w:r w:rsidR="003E3011">
        <w:rPr>
          <w:rFonts w:ascii="Arial" w:hAnsi="Arial" w:cs="Arial"/>
          <w:sz w:val="24"/>
          <w:szCs w:val="24"/>
        </w:rPr>
        <w:t xml:space="preserve"> ile</w:t>
      </w:r>
      <w:r w:rsidR="002A5B3B" w:rsidRPr="00276B6A">
        <w:rPr>
          <w:rFonts w:ascii="Arial" w:hAnsi="Arial" w:cs="Arial"/>
          <w:sz w:val="24"/>
          <w:szCs w:val="24"/>
        </w:rPr>
        <w:t xml:space="preserve"> hızlandırıcıların nicelik ve nitelikleri artırılarak etkin bir şekilde hizmet vermeleri sağlanacak</w:t>
      </w:r>
      <w:r w:rsidR="003E3011">
        <w:rPr>
          <w:rFonts w:ascii="Arial" w:hAnsi="Arial" w:cs="Arial"/>
          <w:sz w:val="24"/>
          <w:szCs w:val="24"/>
        </w:rPr>
        <w:t>;</w:t>
      </w:r>
      <w:r w:rsidR="002A5B3B" w:rsidRPr="00276B6A">
        <w:rPr>
          <w:rFonts w:ascii="Arial" w:hAnsi="Arial" w:cs="Arial"/>
          <w:sz w:val="24"/>
          <w:szCs w:val="24"/>
        </w:rPr>
        <w:t xml:space="preserve"> </w:t>
      </w:r>
      <w:r w:rsidR="003E3011">
        <w:rPr>
          <w:rFonts w:ascii="Arial" w:hAnsi="Arial" w:cs="Arial"/>
          <w:sz w:val="24"/>
          <w:szCs w:val="24"/>
        </w:rPr>
        <w:t>kümelenme</w:t>
      </w:r>
      <w:r w:rsidR="002A5B3B" w:rsidRPr="00276B6A">
        <w:rPr>
          <w:rFonts w:ascii="Arial" w:hAnsi="Arial" w:cs="Arial"/>
          <w:sz w:val="24"/>
          <w:szCs w:val="24"/>
        </w:rPr>
        <w:t xml:space="preserve"> desteklenecektir.</w:t>
      </w:r>
    </w:p>
    <w:p w:rsidR="00276B6A" w:rsidRPr="002F3418" w:rsidRDefault="000F0835"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0F0835">
        <w:rPr>
          <w:rFonts w:ascii="Arial" w:hAnsi="Arial" w:cs="Arial"/>
          <w:sz w:val="24"/>
          <w:szCs w:val="24"/>
        </w:rPr>
        <w:t>Eğitim sisteminde, bireylerin kişilik ve kabiliyetlerini geliştiren, hayat boyu öğrenme yaklaşımı çerçevesinde işgücü piyasasıyla uyumunu güçlendiren, fırsat eşitliğine dayalı, kalite odaklı dönüşüm sürdürülecektir.</w:t>
      </w:r>
    </w:p>
    <w:p w:rsidR="007B15F9" w:rsidRPr="002F3418" w:rsidRDefault="005F646E"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F3418">
        <w:rPr>
          <w:rFonts w:ascii="Arial" w:hAnsi="Arial" w:cs="Arial"/>
          <w:sz w:val="24"/>
          <w:szCs w:val="24"/>
        </w:rPr>
        <w:t>Büyümenin sürdürülebilirliğini sağlamak amacıyla gelir</w:t>
      </w:r>
      <w:r w:rsidR="00264385" w:rsidRPr="002F3418">
        <w:rPr>
          <w:rFonts w:ascii="Arial" w:hAnsi="Arial" w:cs="Arial"/>
          <w:sz w:val="24"/>
          <w:szCs w:val="24"/>
        </w:rPr>
        <w:t xml:space="preserve"> dağılımını iyileştirmeye yönelik olarak izlenen </w:t>
      </w:r>
      <w:r w:rsidRPr="002F3418">
        <w:rPr>
          <w:rFonts w:ascii="Arial" w:hAnsi="Arial" w:cs="Arial"/>
          <w:sz w:val="24"/>
          <w:szCs w:val="24"/>
        </w:rPr>
        <w:t>politikalar</w:t>
      </w:r>
      <w:r w:rsidR="00264385" w:rsidRPr="002F3418">
        <w:rPr>
          <w:rFonts w:ascii="Arial" w:hAnsi="Arial" w:cs="Arial"/>
          <w:sz w:val="24"/>
          <w:szCs w:val="24"/>
        </w:rPr>
        <w:t xml:space="preserve">a devam edilecektir. </w:t>
      </w:r>
    </w:p>
    <w:p w:rsidR="00276B6A" w:rsidRPr="002F3418" w:rsidRDefault="00765E02"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 xml:space="preserve">Bölgesel gelişme politikalarıyla </w:t>
      </w:r>
      <w:r w:rsidR="00EA2428">
        <w:rPr>
          <w:rFonts w:ascii="Arial" w:hAnsi="Arial" w:cs="Arial"/>
          <w:sz w:val="24"/>
          <w:szCs w:val="24"/>
        </w:rPr>
        <w:t>bölgeler arası gelişmişlik farkları azaltılacak, tüm bölgelerin</w:t>
      </w:r>
      <w:r w:rsidR="00EA2428" w:rsidRPr="00276B6A">
        <w:rPr>
          <w:rFonts w:ascii="Arial" w:hAnsi="Arial" w:cs="Arial"/>
          <w:sz w:val="24"/>
          <w:szCs w:val="24"/>
        </w:rPr>
        <w:t xml:space="preserve"> </w:t>
      </w:r>
      <w:r w:rsidRPr="00276B6A">
        <w:rPr>
          <w:rFonts w:ascii="Arial" w:hAnsi="Arial" w:cs="Arial"/>
          <w:sz w:val="24"/>
          <w:szCs w:val="24"/>
        </w:rPr>
        <w:t>potansiyeli değerlendiril</w:t>
      </w:r>
      <w:r w:rsidR="00EA2428">
        <w:rPr>
          <w:rFonts w:ascii="Arial" w:hAnsi="Arial" w:cs="Arial"/>
          <w:sz w:val="24"/>
          <w:szCs w:val="24"/>
        </w:rPr>
        <w:t>erek</w:t>
      </w:r>
      <w:r w:rsidRPr="00276B6A">
        <w:rPr>
          <w:rFonts w:ascii="Arial" w:hAnsi="Arial" w:cs="Arial"/>
          <w:sz w:val="24"/>
          <w:szCs w:val="24"/>
        </w:rPr>
        <w:t xml:space="preserve"> </w:t>
      </w:r>
      <w:r w:rsidR="00EA2428">
        <w:rPr>
          <w:rFonts w:ascii="Arial" w:hAnsi="Arial" w:cs="Arial"/>
          <w:sz w:val="24"/>
          <w:szCs w:val="24"/>
        </w:rPr>
        <w:t>bölgesel rekabet güçleri artırılac</w:t>
      </w:r>
      <w:r w:rsidRPr="00276B6A">
        <w:rPr>
          <w:rFonts w:ascii="Arial" w:hAnsi="Arial" w:cs="Arial"/>
          <w:sz w:val="24"/>
          <w:szCs w:val="24"/>
        </w:rPr>
        <w:t xml:space="preserve">ak </w:t>
      </w:r>
      <w:r w:rsidR="00EA2428">
        <w:rPr>
          <w:rFonts w:ascii="Arial" w:hAnsi="Arial" w:cs="Arial"/>
          <w:sz w:val="24"/>
          <w:szCs w:val="24"/>
        </w:rPr>
        <w:t xml:space="preserve">ve büyümeye </w:t>
      </w:r>
      <w:r w:rsidRPr="00276B6A">
        <w:rPr>
          <w:rFonts w:ascii="Arial" w:hAnsi="Arial" w:cs="Arial"/>
          <w:sz w:val="24"/>
          <w:szCs w:val="24"/>
        </w:rPr>
        <w:t>katkıları azami seviyeye çıkarılacaktır.</w:t>
      </w:r>
    </w:p>
    <w:p w:rsidR="009D3844" w:rsidRPr="009D3844" w:rsidRDefault="003675C2"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Ç</w:t>
      </w:r>
      <w:r w:rsidR="002A5B3B" w:rsidRPr="00276B6A">
        <w:rPr>
          <w:rFonts w:ascii="Arial" w:hAnsi="Arial" w:cs="Arial"/>
          <w:sz w:val="24"/>
          <w:szCs w:val="24"/>
        </w:rPr>
        <w:t>evre dostu yaklaşımların barındırdığı yeni iş imkânları, gelir kaynakları, ürün ve teknolojilerin geliştirilmesine yönelik fırsatlar değerlendirilerek yeşil büyüme desteklenecektir</w:t>
      </w:r>
      <w:r w:rsidR="00526699" w:rsidRPr="00276B6A">
        <w:rPr>
          <w:rFonts w:ascii="Arial" w:hAnsi="Arial" w:cs="Arial"/>
          <w:sz w:val="24"/>
          <w:szCs w:val="24"/>
        </w:rPr>
        <w:t>.</w:t>
      </w:r>
    </w:p>
    <w:p w:rsidR="009D3844" w:rsidRPr="009D3844" w:rsidRDefault="009D3844"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9D3844">
        <w:rPr>
          <w:rFonts w:ascii="Arial" w:hAnsi="Arial" w:cs="Arial"/>
          <w:sz w:val="24"/>
          <w:szCs w:val="24"/>
        </w:rPr>
        <w:t>Kentsel dönüşümde katma değer yaratan sektörlerin, yaratıcı endüstrilerin, yüksek teknolojili, çevreye duyarlı yenilikçi üretimin ve enerji verimliliğinin desteklenmesine önem verilecektir.</w:t>
      </w:r>
    </w:p>
    <w:p w:rsidR="00B73056" w:rsidRPr="00276B6A" w:rsidRDefault="00D71AD9" w:rsidP="00D71AD9">
      <w:pPr>
        <w:pStyle w:val="ListeParagraf"/>
        <w:tabs>
          <w:tab w:val="left" w:pos="426"/>
        </w:tabs>
        <w:autoSpaceDE w:val="0"/>
        <w:autoSpaceDN w:val="0"/>
        <w:adjustRightInd w:val="0"/>
        <w:spacing w:after="120" w:line="360" w:lineRule="auto"/>
        <w:ind w:left="0"/>
        <w:contextualSpacing w:val="0"/>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sidR="00B73056" w:rsidRPr="00276B6A">
        <w:rPr>
          <w:rFonts w:ascii="Arial" w:hAnsi="Arial" w:cs="Arial"/>
          <w:b/>
          <w:sz w:val="24"/>
          <w:szCs w:val="24"/>
        </w:rPr>
        <w:t xml:space="preserve">2. </w:t>
      </w:r>
      <w:r w:rsidR="00176827">
        <w:rPr>
          <w:rFonts w:ascii="Arial" w:hAnsi="Arial" w:cs="Arial"/>
          <w:b/>
          <w:sz w:val="24"/>
          <w:szCs w:val="24"/>
        </w:rPr>
        <w:t xml:space="preserve"> </w:t>
      </w:r>
      <w:r w:rsidR="00B73056" w:rsidRPr="00276B6A">
        <w:rPr>
          <w:rFonts w:ascii="Arial" w:hAnsi="Arial" w:cs="Arial"/>
          <w:b/>
          <w:sz w:val="24"/>
          <w:szCs w:val="24"/>
        </w:rPr>
        <w:t>Maliye Politikası</w:t>
      </w:r>
    </w:p>
    <w:p w:rsidR="00B73056" w:rsidRPr="00276B6A"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Maliye politikası</w:t>
      </w:r>
      <w:r w:rsidR="00C247A4">
        <w:rPr>
          <w:rFonts w:ascii="Arial" w:hAnsi="Arial" w:cs="Arial"/>
          <w:sz w:val="24"/>
          <w:szCs w:val="24"/>
        </w:rPr>
        <w:t xml:space="preserve">, ekonomik ve finansal </w:t>
      </w:r>
      <w:r w:rsidRPr="00276B6A">
        <w:rPr>
          <w:rFonts w:ascii="Arial" w:hAnsi="Arial" w:cs="Arial"/>
          <w:sz w:val="24"/>
          <w:szCs w:val="24"/>
        </w:rPr>
        <w:t>istikrarın desteklenmesi</w:t>
      </w:r>
      <w:r w:rsidR="00C247A4">
        <w:rPr>
          <w:rFonts w:ascii="Arial" w:hAnsi="Arial" w:cs="Arial"/>
          <w:sz w:val="24"/>
          <w:szCs w:val="24"/>
        </w:rPr>
        <w:t>ne</w:t>
      </w:r>
      <w:r w:rsidRPr="00276B6A">
        <w:rPr>
          <w:rFonts w:ascii="Arial" w:hAnsi="Arial" w:cs="Arial"/>
          <w:sz w:val="24"/>
          <w:szCs w:val="24"/>
        </w:rPr>
        <w:t>, yurt</w:t>
      </w:r>
      <w:r w:rsidR="00994C34">
        <w:rPr>
          <w:rFonts w:ascii="Arial" w:hAnsi="Arial" w:cs="Arial"/>
          <w:sz w:val="24"/>
          <w:szCs w:val="24"/>
        </w:rPr>
        <w:t xml:space="preserve"> </w:t>
      </w:r>
      <w:r w:rsidRPr="00276B6A">
        <w:rPr>
          <w:rFonts w:ascii="Arial" w:hAnsi="Arial" w:cs="Arial"/>
          <w:sz w:val="24"/>
          <w:szCs w:val="24"/>
        </w:rPr>
        <w:t>içi tasarrufların artırıl</w:t>
      </w:r>
      <w:r w:rsidR="00144BEB">
        <w:rPr>
          <w:rFonts w:ascii="Arial" w:hAnsi="Arial" w:cs="Arial"/>
          <w:sz w:val="24"/>
          <w:szCs w:val="24"/>
        </w:rPr>
        <w:t xml:space="preserve">arak cari açığın kontrol altında tutulmasına ve </w:t>
      </w:r>
      <w:r w:rsidR="00C247A4">
        <w:rPr>
          <w:rFonts w:ascii="Arial" w:hAnsi="Arial" w:cs="Arial"/>
          <w:sz w:val="24"/>
          <w:szCs w:val="24"/>
        </w:rPr>
        <w:t xml:space="preserve">büyüme potansiyelinin yukarı çekilmesine </w:t>
      </w:r>
      <w:r w:rsidRPr="00276B6A">
        <w:rPr>
          <w:rFonts w:ascii="Arial" w:hAnsi="Arial" w:cs="Arial"/>
          <w:sz w:val="24"/>
          <w:szCs w:val="24"/>
        </w:rPr>
        <w:t>yardımcı olacak şekilde uygulanacaktır.</w:t>
      </w:r>
    </w:p>
    <w:p w:rsidR="00B73056" w:rsidRPr="00276B6A"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 xml:space="preserve">Kamu kesimi borçlanma gereğinin makul seviyelerde tutulması suretiyle maliye politikasının sürdürülebilirliği gözetilecek, kamu maliyesi alanında geçmiş dönemde elde edilen kazanımların gelecek dönemde de devam etmesi </w:t>
      </w:r>
      <w:r w:rsidR="00F611A2">
        <w:rPr>
          <w:rFonts w:ascii="Arial" w:hAnsi="Arial" w:cs="Arial"/>
          <w:sz w:val="24"/>
          <w:szCs w:val="24"/>
        </w:rPr>
        <w:t>sağlanacaktır</w:t>
      </w:r>
      <w:r w:rsidRPr="00276B6A">
        <w:rPr>
          <w:rFonts w:ascii="Arial" w:hAnsi="Arial" w:cs="Arial"/>
          <w:sz w:val="24"/>
          <w:szCs w:val="24"/>
        </w:rPr>
        <w:t xml:space="preserve">. </w:t>
      </w:r>
    </w:p>
    <w:p w:rsidR="00B73056" w:rsidRPr="00276B6A" w:rsidRDefault="00F611A2"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H</w:t>
      </w:r>
      <w:r w:rsidR="00B73056" w:rsidRPr="00276B6A">
        <w:rPr>
          <w:rFonts w:ascii="Arial" w:hAnsi="Arial" w:cs="Arial"/>
          <w:sz w:val="24"/>
          <w:szCs w:val="24"/>
        </w:rPr>
        <w:t xml:space="preserve">arcama programlarının </w:t>
      </w:r>
      <w:proofErr w:type="spellStart"/>
      <w:r w:rsidR="00B73056" w:rsidRPr="00276B6A">
        <w:rPr>
          <w:rFonts w:ascii="Arial" w:hAnsi="Arial" w:cs="Arial"/>
          <w:sz w:val="24"/>
          <w:szCs w:val="24"/>
        </w:rPr>
        <w:t>önceliklendirilmesi</w:t>
      </w:r>
      <w:proofErr w:type="spellEnd"/>
      <w:r w:rsidR="00B73056" w:rsidRPr="00276B6A">
        <w:rPr>
          <w:rFonts w:ascii="Arial" w:hAnsi="Arial" w:cs="Arial"/>
          <w:sz w:val="24"/>
          <w:szCs w:val="24"/>
        </w:rPr>
        <w:t xml:space="preserve"> ve harcamaların etkinliğinin artırılmasıyla faiz dışı harcamalar kontrol altında tutulacaktır. Kamu </w:t>
      </w:r>
      <w:r>
        <w:rPr>
          <w:rFonts w:ascii="Arial" w:hAnsi="Arial" w:cs="Arial"/>
          <w:sz w:val="24"/>
          <w:szCs w:val="24"/>
        </w:rPr>
        <w:t xml:space="preserve">cari </w:t>
      </w:r>
      <w:r w:rsidR="00B73056" w:rsidRPr="00276B6A">
        <w:rPr>
          <w:rFonts w:ascii="Arial" w:hAnsi="Arial" w:cs="Arial"/>
          <w:sz w:val="24"/>
          <w:szCs w:val="24"/>
        </w:rPr>
        <w:t xml:space="preserve">harcamalarının etkinleştirilmesiyle elde edilecek </w:t>
      </w:r>
      <w:r w:rsidR="00B73056">
        <w:rPr>
          <w:rFonts w:ascii="Arial" w:hAnsi="Arial" w:cs="Arial"/>
          <w:sz w:val="24"/>
          <w:szCs w:val="24"/>
        </w:rPr>
        <w:t>mali alan,</w:t>
      </w:r>
      <w:r w:rsidR="00B73056" w:rsidRPr="00276B6A">
        <w:rPr>
          <w:rFonts w:ascii="Arial" w:hAnsi="Arial" w:cs="Arial"/>
          <w:sz w:val="24"/>
          <w:szCs w:val="24"/>
        </w:rPr>
        <w:t xml:space="preserve"> </w:t>
      </w:r>
      <w:r w:rsidR="00B73056">
        <w:rPr>
          <w:rFonts w:ascii="Arial" w:hAnsi="Arial" w:cs="Arial"/>
          <w:sz w:val="24"/>
          <w:szCs w:val="24"/>
        </w:rPr>
        <w:t xml:space="preserve">özellikle </w:t>
      </w:r>
      <w:r w:rsidR="00B73056" w:rsidRPr="00276B6A">
        <w:rPr>
          <w:rFonts w:ascii="Arial" w:hAnsi="Arial" w:cs="Arial"/>
          <w:sz w:val="24"/>
          <w:szCs w:val="24"/>
        </w:rPr>
        <w:t xml:space="preserve">büyümeyi destekleyecek kamu </w:t>
      </w:r>
      <w:r w:rsidR="00B73056">
        <w:rPr>
          <w:rFonts w:ascii="Arial" w:hAnsi="Arial" w:cs="Arial"/>
          <w:sz w:val="24"/>
          <w:szCs w:val="24"/>
        </w:rPr>
        <w:t xml:space="preserve">altyapı </w:t>
      </w:r>
      <w:r w:rsidR="00B73056" w:rsidRPr="00276B6A">
        <w:rPr>
          <w:rFonts w:ascii="Arial" w:hAnsi="Arial" w:cs="Arial"/>
          <w:sz w:val="24"/>
          <w:szCs w:val="24"/>
        </w:rPr>
        <w:t>yatırımlarında, teşviklerde ve Ar-Ge</w:t>
      </w:r>
      <w:r w:rsidR="00B73056">
        <w:rPr>
          <w:rFonts w:ascii="Arial" w:hAnsi="Arial" w:cs="Arial"/>
          <w:sz w:val="24"/>
          <w:szCs w:val="24"/>
        </w:rPr>
        <w:t xml:space="preserve"> desteklerinde kullanılacaktır.</w:t>
      </w:r>
    </w:p>
    <w:p w:rsidR="00B73056" w:rsidRPr="00FD203F"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FD203F">
        <w:rPr>
          <w:rFonts w:ascii="Arial" w:hAnsi="Arial" w:cs="Arial"/>
          <w:sz w:val="24"/>
          <w:szCs w:val="24"/>
        </w:rPr>
        <w:t xml:space="preserve">Kamu mali sisteminin devresel hareketlere karşı oldukça duyarlı olan yapısı göz önünde tutularak, daha güçlü bir kamu mali görünümünün tesis edilebilmesi için kamu gelirlerinin kalitesinin artırılması yönünde politikalar geliştirilecektir. </w:t>
      </w:r>
      <w:r w:rsidR="007D53AB" w:rsidRPr="00FD203F">
        <w:rPr>
          <w:rFonts w:ascii="Arial" w:hAnsi="Arial" w:cs="Arial"/>
          <w:sz w:val="24"/>
          <w:szCs w:val="24"/>
        </w:rPr>
        <w:t>S</w:t>
      </w:r>
      <w:r w:rsidRPr="00FD203F">
        <w:rPr>
          <w:rFonts w:ascii="Arial" w:hAnsi="Arial" w:cs="Arial"/>
          <w:sz w:val="24"/>
          <w:szCs w:val="24"/>
        </w:rPr>
        <w:t xml:space="preserve">üreklilik arz etmeyen gelirler kullanılarak orta ve uzun vadede harcama seviyesinin </w:t>
      </w:r>
      <w:r w:rsidR="007D53AB" w:rsidRPr="00FD203F">
        <w:rPr>
          <w:rFonts w:ascii="Arial" w:hAnsi="Arial" w:cs="Arial"/>
          <w:sz w:val="24"/>
          <w:szCs w:val="24"/>
        </w:rPr>
        <w:t xml:space="preserve">kalıcı olarak </w:t>
      </w:r>
      <w:r w:rsidRPr="00FD203F">
        <w:rPr>
          <w:rFonts w:ascii="Arial" w:hAnsi="Arial" w:cs="Arial"/>
          <w:sz w:val="24"/>
          <w:szCs w:val="24"/>
        </w:rPr>
        <w:t>yükselmesine neden olacak politikalar uygulanmayacaktır.</w:t>
      </w:r>
    </w:p>
    <w:p w:rsidR="00B73056" w:rsidRPr="00276B6A" w:rsidRDefault="00D71AD9" w:rsidP="00D71AD9">
      <w:pPr>
        <w:pStyle w:val="ListeParagraf"/>
        <w:tabs>
          <w:tab w:val="left" w:pos="426"/>
        </w:tabs>
        <w:autoSpaceDE w:val="0"/>
        <w:autoSpaceDN w:val="0"/>
        <w:adjustRightInd w:val="0"/>
        <w:spacing w:after="120" w:line="360" w:lineRule="auto"/>
        <w:ind w:left="0"/>
        <w:contextualSpacing w:val="0"/>
        <w:jc w:val="both"/>
        <w:rPr>
          <w:rFonts w:ascii="Arial" w:hAnsi="Arial" w:cs="Arial"/>
          <w:b/>
          <w:sz w:val="24"/>
          <w:szCs w:val="24"/>
        </w:rPr>
      </w:pPr>
      <w:r>
        <w:rPr>
          <w:rFonts w:ascii="Arial" w:hAnsi="Arial" w:cs="Arial"/>
          <w:b/>
          <w:sz w:val="24"/>
          <w:szCs w:val="24"/>
        </w:rPr>
        <w:tab/>
      </w:r>
      <w:r>
        <w:rPr>
          <w:rFonts w:ascii="Arial" w:hAnsi="Arial" w:cs="Arial"/>
          <w:b/>
          <w:sz w:val="24"/>
          <w:szCs w:val="24"/>
        </w:rPr>
        <w:tab/>
      </w:r>
      <w:proofErr w:type="gramStart"/>
      <w:r w:rsidR="00B73056" w:rsidRPr="00276B6A">
        <w:rPr>
          <w:rFonts w:ascii="Arial" w:hAnsi="Arial" w:cs="Arial"/>
          <w:b/>
          <w:sz w:val="24"/>
          <w:szCs w:val="24"/>
        </w:rPr>
        <w:t>a</w:t>
      </w:r>
      <w:proofErr w:type="gramEnd"/>
      <w:r w:rsidR="00B73056" w:rsidRPr="00276B6A">
        <w:rPr>
          <w:rFonts w:ascii="Arial" w:hAnsi="Arial" w:cs="Arial"/>
          <w:b/>
          <w:sz w:val="24"/>
          <w:szCs w:val="24"/>
        </w:rPr>
        <w:t>. Kamu Harcama Politikası</w:t>
      </w:r>
    </w:p>
    <w:p w:rsidR="00B73056" w:rsidRPr="00276B6A"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 xml:space="preserve">Kamu harcama politikasının, çok yıllı bütçeleme yaklaşımı çerçevesinde ve belirlenen politika öncelikleri doğrultusunda yürütülmesi </w:t>
      </w:r>
      <w:r>
        <w:rPr>
          <w:rFonts w:ascii="Arial" w:hAnsi="Arial" w:cs="Arial"/>
          <w:sz w:val="24"/>
          <w:szCs w:val="24"/>
        </w:rPr>
        <w:t xml:space="preserve">ve kamu idarelerinin </w:t>
      </w:r>
      <w:r w:rsidRPr="00276B6A">
        <w:rPr>
          <w:rFonts w:ascii="Arial" w:hAnsi="Arial" w:cs="Arial"/>
          <w:sz w:val="24"/>
          <w:szCs w:val="24"/>
        </w:rPr>
        <w:t xml:space="preserve">kendilerine tahsis edilen ödenekleri ekonomik ve verimli </w:t>
      </w:r>
      <w:r>
        <w:rPr>
          <w:rFonts w:ascii="Arial" w:hAnsi="Arial" w:cs="Arial"/>
          <w:sz w:val="24"/>
          <w:szCs w:val="24"/>
        </w:rPr>
        <w:t>bir şekilde kullanması esastır.</w:t>
      </w:r>
    </w:p>
    <w:p w:rsidR="00346CFD"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346CFD">
        <w:rPr>
          <w:rFonts w:ascii="Arial" w:hAnsi="Arial" w:cs="Arial"/>
          <w:sz w:val="24"/>
          <w:szCs w:val="24"/>
        </w:rPr>
        <w:t xml:space="preserve">Kaynak kullanımında etkinliği artırmak ve hesap verebilirliği güçlendirmek amacıyla, yeni harcama programları uygulamaya geçirilmeden önce pilot uygulamalara gidilecek ve etki analizi çalışmaları yapılacak, mevcut programlar </w:t>
      </w:r>
      <w:r w:rsidR="00346CFD" w:rsidRPr="00346CFD">
        <w:rPr>
          <w:rFonts w:ascii="Arial" w:hAnsi="Arial" w:cs="Arial"/>
          <w:sz w:val="24"/>
          <w:szCs w:val="24"/>
        </w:rPr>
        <w:t xml:space="preserve">etkililik ve etkinlik bakımından gözden geçirilecektir. </w:t>
      </w:r>
    </w:p>
    <w:p w:rsidR="00B73056" w:rsidRPr="00346CFD"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346CFD">
        <w:rPr>
          <w:rFonts w:ascii="Arial" w:hAnsi="Arial" w:cs="Arial"/>
          <w:sz w:val="24"/>
          <w:szCs w:val="24"/>
        </w:rPr>
        <w:t>Bütçe hazırlık sürecinde, personel harcamaları dışında kalan diğer cari harcamalara yönelik ödeneklerin sıfır tabanlı bütçe ilkesiyle belirlenmesine özen gösterilecektir.</w:t>
      </w:r>
    </w:p>
    <w:p w:rsidR="00B73056" w:rsidRPr="000472F4"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0472F4">
        <w:rPr>
          <w:rFonts w:ascii="Arial" w:hAnsi="Arial" w:cs="Arial"/>
          <w:sz w:val="24"/>
          <w:szCs w:val="24"/>
        </w:rPr>
        <w:t>Harcama programları yalnızca varlık sebebini oluşturan ama</w:t>
      </w:r>
      <w:r>
        <w:rPr>
          <w:rFonts w:ascii="Arial" w:hAnsi="Arial" w:cs="Arial"/>
          <w:sz w:val="24"/>
          <w:szCs w:val="24"/>
        </w:rPr>
        <w:t>çlara</w:t>
      </w:r>
      <w:r w:rsidRPr="000472F4">
        <w:rPr>
          <w:rFonts w:ascii="Arial" w:hAnsi="Arial" w:cs="Arial"/>
          <w:sz w:val="24"/>
          <w:szCs w:val="24"/>
        </w:rPr>
        <w:t xml:space="preserve"> uygun olarak</w:t>
      </w:r>
      <w:r>
        <w:rPr>
          <w:rFonts w:ascii="Arial" w:hAnsi="Arial" w:cs="Arial"/>
          <w:sz w:val="24"/>
          <w:szCs w:val="24"/>
        </w:rPr>
        <w:t xml:space="preserve"> ve</w:t>
      </w:r>
      <w:r w:rsidRPr="000472F4">
        <w:rPr>
          <w:rFonts w:ascii="Arial" w:hAnsi="Arial" w:cs="Arial"/>
          <w:sz w:val="24"/>
          <w:szCs w:val="24"/>
        </w:rPr>
        <w:t xml:space="preserve"> belirlenmiş süreler dâhilinde </w:t>
      </w:r>
      <w:r>
        <w:rPr>
          <w:rFonts w:ascii="Arial" w:hAnsi="Arial" w:cs="Arial"/>
          <w:sz w:val="24"/>
          <w:szCs w:val="24"/>
        </w:rPr>
        <w:t>yürütülecektir</w:t>
      </w:r>
      <w:r w:rsidRPr="000472F4">
        <w:rPr>
          <w:rFonts w:ascii="Arial" w:hAnsi="Arial" w:cs="Arial"/>
          <w:sz w:val="24"/>
          <w:szCs w:val="24"/>
        </w:rPr>
        <w:t>.</w:t>
      </w:r>
    </w:p>
    <w:p w:rsidR="00B73056" w:rsidRPr="00276B6A"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Kamu kurum ve kuruluşlarının stratejik planlarının Kalkınma Planında yer al</w:t>
      </w:r>
      <w:r>
        <w:rPr>
          <w:rFonts w:ascii="Arial" w:hAnsi="Arial" w:cs="Arial"/>
          <w:sz w:val="24"/>
          <w:szCs w:val="24"/>
        </w:rPr>
        <w:t>an politikalarla uyumu gözetilec</w:t>
      </w:r>
      <w:r w:rsidRPr="00276B6A">
        <w:rPr>
          <w:rFonts w:ascii="Arial" w:hAnsi="Arial" w:cs="Arial"/>
          <w:sz w:val="24"/>
          <w:szCs w:val="24"/>
        </w:rPr>
        <w:t xml:space="preserve">ek, stratejik planlarda yer alan önceliklerin bütçe hazırlık ve uygulama sürecine daha etkin yansıtılması sağlanacaktır. </w:t>
      </w:r>
    </w:p>
    <w:p w:rsidR="00B73056" w:rsidRPr="00276B6A"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 xml:space="preserve">Kamu mali yönetimi alanında yapılan reformların uygulamasını güçlendirmek amacıyla kamu hizmetlerini program yaklaşımıyla ele alan bütçe yapısına kademeli olarak geçilecektir. </w:t>
      </w:r>
    </w:p>
    <w:p w:rsidR="00B73056" w:rsidRPr="00276B6A"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 xml:space="preserve">Kamu özel işbirliği </w:t>
      </w:r>
      <w:r>
        <w:rPr>
          <w:rFonts w:ascii="Arial" w:hAnsi="Arial" w:cs="Arial"/>
          <w:sz w:val="24"/>
          <w:szCs w:val="24"/>
        </w:rPr>
        <w:t xml:space="preserve">kapsamında yapılacak yatırımlar, sözleşmelerden doğacak yükümlülüklerin kamu mali dengeleri üzerindeki etkileri göz önünde bulundurularak planlanacaktır. </w:t>
      </w:r>
    </w:p>
    <w:p w:rsidR="00B73056" w:rsidRPr="00276B6A"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 xml:space="preserve">Kamuda hizmet alımlarına ilişkin mevcut politikaların etkinliği, fayda ve alternatif maliyet analizleri </w:t>
      </w:r>
      <w:r>
        <w:rPr>
          <w:rFonts w:ascii="Arial" w:hAnsi="Arial" w:cs="Arial"/>
          <w:sz w:val="24"/>
          <w:szCs w:val="24"/>
        </w:rPr>
        <w:t>yapılarak</w:t>
      </w:r>
      <w:r w:rsidRPr="00276B6A">
        <w:rPr>
          <w:rFonts w:ascii="Arial" w:hAnsi="Arial" w:cs="Arial"/>
          <w:sz w:val="24"/>
          <w:szCs w:val="24"/>
        </w:rPr>
        <w:t xml:space="preserve"> değerlendirilecektir.  </w:t>
      </w:r>
    </w:p>
    <w:p w:rsidR="00B73056" w:rsidRPr="00276B6A"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Tarımsal destekleme amacıyla yapılan transferler; etkinlik, verimlilik ve katma değerin artırılması hedefi çerçevesinde belirlenecektir.</w:t>
      </w:r>
    </w:p>
    <w:p w:rsidR="00144BEB"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 xml:space="preserve">Kamu </w:t>
      </w:r>
      <w:r>
        <w:rPr>
          <w:rFonts w:ascii="Arial" w:hAnsi="Arial" w:cs="Arial"/>
          <w:sz w:val="24"/>
          <w:szCs w:val="24"/>
        </w:rPr>
        <w:t xml:space="preserve">Ar-Ge </w:t>
      </w:r>
      <w:r w:rsidRPr="00276B6A">
        <w:rPr>
          <w:rFonts w:ascii="Arial" w:hAnsi="Arial" w:cs="Arial"/>
          <w:sz w:val="24"/>
          <w:szCs w:val="24"/>
        </w:rPr>
        <w:t>harcama</w:t>
      </w:r>
      <w:r>
        <w:rPr>
          <w:rFonts w:ascii="Arial" w:hAnsi="Arial" w:cs="Arial"/>
          <w:sz w:val="24"/>
          <w:szCs w:val="24"/>
        </w:rPr>
        <w:t>larının tahsisinde, özel kesim yatırımlarının yüksek dış ticaret açığı verdiğimiz sanayi kollarında üretime yönlendirilmesine öncelik verilecektir.</w:t>
      </w:r>
    </w:p>
    <w:p w:rsidR="00B73056" w:rsidRPr="00276B6A" w:rsidRDefault="00144BEB"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Kamu harcamalarının tahsisinde eğitim öncelikli sektör olmaya devam edecektir.</w:t>
      </w:r>
    </w:p>
    <w:p w:rsidR="00B73056" w:rsidRPr="00276B6A"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Mahalli idarelerin genel bütçe vergi paylarından kamuya olan borçlarına mahsuben yapılacak olan kesinti düzenli olarak uygulanmaya devam edilecektir.</w:t>
      </w:r>
    </w:p>
    <w:p w:rsidR="00B73056" w:rsidRPr="00276B6A"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Sağlık hizmetlerinin kalitesinden ödün verilmeksizin, gereksiz ilaç ve hizmet kullanımını önlemek üzere</w:t>
      </w:r>
      <w:r>
        <w:rPr>
          <w:rFonts w:ascii="Arial" w:hAnsi="Arial" w:cs="Arial"/>
          <w:sz w:val="24"/>
          <w:szCs w:val="24"/>
        </w:rPr>
        <w:t>,</w:t>
      </w:r>
      <w:r w:rsidRPr="00276B6A">
        <w:rPr>
          <w:rFonts w:ascii="Arial" w:hAnsi="Arial" w:cs="Arial"/>
          <w:sz w:val="24"/>
          <w:szCs w:val="24"/>
        </w:rPr>
        <w:t xml:space="preserve"> ilaç ve tedavi harcamaları daha akılcı hale getirilecektir.</w:t>
      </w:r>
    </w:p>
    <w:p w:rsidR="00B73056" w:rsidRPr="00276B6A"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Sağlık hizmet sunucularının geçmiş davranışlarını dikkate alan denetim modelleri geliştirilecek, risk analizi ve veri madenciliği alanlarında yazılım, donanım ve eğitim altyapısı güçlendirilecektir.</w:t>
      </w:r>
    </w:p>
    <w:p w:rsidR="00B73056" w:rsidRPr="00276B6A"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Üniversite hastanelerinin yapısal sorunlarının giderilmesine yönelik tedbirler alınacaktır.</w:t>
      </w:r>
    </w:p>
    <w:p w:rsidR="00B73056" w:rsidRPr="00276B6A"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Sosyal amaçlı programların etkinliği değerlendirilecek ve mükerrerlikler önlenecektir.</w:t>
      </w:r>
    </w:p>
    <w:p w:rsidR="00B73056"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 xml:space="preserve">Sosyal güvenlik sisteminin </w:t>
      </w:r>
      <w:proofErr w:type="spellStart"/>
      <w:r w:rsidRPr="00276B6A">
        <w:rPr>
          <w:rFonts w:ascii="Arial" w:hAnsi="Arial" w:cs="Arial"/>
          <w:sz w:val="24"/>
          <w:szCs w:val="24"/>
        </w:rPr>
        <w:t>aktüeryal</w:t>
      </w:r>
      <w:proofErr w:type="spellEnd"/>
      <w:r w:rsidRPr="00276B6A">
        <w:rPr>
          <w:rFonts w:ascii="Arial" w:hAnsi="Arial" w:cs="Arial"/>
          <w:sz w:val="24"/>
          <w:szCs w:val="24"/>
        </w:rPr>
        <w:t xml:space="preserve"> dengesini tehdit eden prim yapılandırmaları ekonomik kriz ve doğal afet gibi istisnai haller dışında uygulanmayacak</w:t>
      </w:r>
      <w:r>
        <w:rPr>
          <w:rFonts w:ascii="Arial" w:hAnsi="Arial" w:cs="Arial"/>
          <w:sz w:val="24"/>
          <w:szCs w:val="24"/>
        </w:rPr>
        <w:t>tır.</w:t>
      </w:r>
      <w:r w:rsidRPr="00276B6A">
        <w:rPr>
          <w:rFonts w:ascii="Arial" w:hAnsi="Arial" w:cs="Arial"/>
          <w:sz w:val="24"/>
          <w:szCs w:val="24"/>
        </w:rPr>
        <w:t xml:space="preserve"> </w:t>
      </w:r>
    </w:p>
    <w:p w:rsidR="0092526C" w:rsidRPr="00B32578"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1810BF">
        <w:rPr>
          <w:rFonts w:ascii="Arial" w:hAnsi="Arial" w:cs="Arial"/>
          <w:sz w:val="24"/>
          <w:szCs w:val="24"/>
        </w:rPr>
        <w:t>Sosyal güvenlik sisteminin mali sürdürülebilirliği üzerinde olumsuz yansı</w:t>
      </w:r>
      <w:r w:rsidR="00304DB9">
        <w:rPr>
          <w:rFonts w:ascii="Arial" w:hAnsi="Arial" w:cs="Arial"/>
          <w:sz w:val="24"/>
          <w:szCs w:val="24"/>
        </w:rPr>
        <w:t>maları olan uygulamalar</w:t>
      </w:r>
      <w:r w:rsidR="00B32578">
        <w:rPr>
          <w:rFonts w:ascii="Arial" w:hAnsi="Arial" w:cs="Arial"/>
          <w:sz w:val="24"/>
          <w:szCs w:val="24"/>
        </w:rPr>
        <w:t xml:space="preserve"> gözden geçirilecektir.</w:t>
      </w:r>
    </w:p>
    <w:p w:rsidR="001A4139" w:rsidRPr="00B32578" w:rsidRDefault="00D71AD9" w:rsidP="00D71AD9">
      <w:pPr>
        <w:pStyle w:val="ListeParagraf"/>
        <w:spacing w:after="120"/>
        <w:contextualSpacing w:val="0"/>
        <w:jc w:val="both"/>
        <w:rPr>
          <w:rFonts w:ascii="Arial" w:hAnsi="Arial" w:cs="Arial"/>
          <w:b/>
          <w:sz w:val="24"/>
          <w:szCs w:val="24"/>
        </w:rPr>
      </w:pPr>
      <w:proofErr w:type="gramStart"/>
      <w:r>
        <w:rPr>
          <w:rFonts w:ascii="Arial" w:hAnsi="Arial" w:cs="Arial"/>
          <w:b/>
          <w:sz w:val="24"/>
          <w:szCs w:val="24"/>
        </w:rPr>
        <w:t>b</w:t>
      </w:r>
      <w:proofErr w:type="gramEnd"/>
      <w:r>
        <w:rPr>
          <w:rFonts w:ascii="Arial" w:hAnsi="Arial" w:cs="Arial"/>
          <w:b/>
          <w:sz w:val="24"/>
          <w:szCs w:val="24"/>
        </w:rPr>
        <w:t xml:space="preserve">. </w:t>
      </w:r>
      <w:r w:rsidR="006E7803" w:rsidRPr="00276B6A">
        <w:rPr>
          <w:rFonts w:ascii="Arial" w:hAnsi="Arial" w:cs="Arial"/>
          <w:b/>
          <w:sz w:val="24"/>
          <w:szCs w:val="24"/>
        </w:rPr>
        <w:t>Kamu Yatırım Politikası</w:t>
      </w:r>
    </w:p>
    <w:p w:rsidR="00EE2B03" w:rsidRPr="001A4139" w:rsidRDefault="006E7803"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4D48B2">
        <w:rPr>
          <w:rFonts w:ascii="Arial" w:hAnsi="Arial" w:cs="Arial"/>
          <w:sz w:val="24"/>
          <w:szCs w:val="24"/>
        </w:rPr>
        <w:t>Kamu yatırımlarının büyümeye, özel kesim yatırımlarını desteklemeye, bölgeler</w:t>
      </w:r>
      <w:r w:rsidR="00077A30" w:rsidRPr="004D48B2">
        <w:rPr>
          <w:rFonts w:ascii="Arial" w:hAnsi="Arial" w:cs="Arial"/>
          <w:sz w:val="24"/>
          <w:szCs w:val="24"/>
        </w:rPr>
        <w:t xml:space="preserve">in gelişme potansiyellerini </w:t>
      </w:r>
      <w:r w:rsidR="00142E8B">
        <w:rPr>
          <w:rFonts w:ascii="Arial" w:hAnsi="Arial" w:cs="Arial"/>
          <w:sz w:val="24"/>
          <w:szCs w:val="24"/>
        </w:rPr>
        <w:t>harekete geçirmeye</w:t>
      </w:r>
      <w:r w:rsidRPr="004D48B2">
        <w:rPr>
          <w:rFonts w:ascii="Arial" w:hAnsi="Arial" w:cs="Arial"/>
          <w:sz w:val="24"/>
          <w:szCs w:val="24"/>
        </w:rPr>
        <w:t>, istihdamı ve ülke refahını artırmaya katkısının azami seviyeye çıkarılması temel amaçtır.</w:t>
      </w:r>
    </w:p>
    <w:p w:rsidR="00142E8B" w:rsidRPr="001A4139" w:rsidRDefault="00142E8B"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142E8B">
        <w:rPr>
          <w:rFonts w:ascii="Arial" w:hAnsi="Arial" w:cs="Arial"/>
          <w:sz w:val="24"/>
          <w:szCs w:val="24"/>
        </w:rPr>
        <w:t>K</w:t>
      </w:r>
      <w:r w:rsidR="002C5876">
        <w:rPr>
          <w:rFonts w:ascii="Arial" w:hAnsi="Arial" w:cs="Arial"/>
          <w:sz w:val="24"/>
          <w:szCs w:val="24"/>
        </w:rPr>
        <w:t>amu yatırım ödenekleri</w:t>
      </w:r>
      <w:r w:rsidR="007525E6" w:rsidRPr="00142E8B">
        <w:rPr>
          <w:rFonts w:ascii="Arial" w:hAnsi="Arial" w:cs="Arial"/>
          <w:sz w:val="24"/>
          <w:szCs w:val="24"/>
        </w:rPr>
        <w:t xml:space="preserve"> özel sektörün üretken faaliyetlerini destekleyecek nitelikteki altyapı yatırımlarına yönlendirilecek, bu kapsamda, demiryolu, liman, lojistik merkezi gibi </w:t>
      </w:r>
      <w:r w:rsidRPr="00142E8B">
        <w:rPr>
          <w:rFonts w:ascii="Arial" w:hAnsi="Arial" w:cs="Arial"/>
          <w:sz w:val="24"/>
          <w:szCs w:val="24"/>
        </w:rPr>
        <w:t>alanlara özel önem verilecektir.</w:t>
      </w:r>
    </w:p>
    <w:p w:rsidR="007525E6" w:rsidRPr="001A4139" w:rsidRDefault="00A53044"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 xml:space="preserve">Kamu yatırım projeleri </w:t>
      </w:r>
      <w:proofErr w:type="spellStart"/>
      <w:r w:rsidR="00BC5CF5">
        <w:rPr>
          <w:rFonts w:ascii="Arial" w:hAnsi="Arial" w:cs="Arial"/>
          <w:sz w:val="24"/>
          <w:szCs w:val="24"/>
        </w:rPr>
        <w:t>önceliklendirilerek</w:t>
      </w:r>
      <w:proofErr w:type="spellEnd"/>
      <w:r w:rsidR="00BC5CF5">
        <w:rPr>
          <w:rFonts w:ascii="Arial" w:hAnsi="Arial" w:cs="Arial"/>
          <w:sz w:val="24"/>
          <w:szCs w:val="24"/>
        </w:rPr>
        <w:t>,</w:t>
      </w:r>
      <w:r w:rsidR="005C5E7B">
        <w:rPr>
          <w:rFonts w:ascii="Arial" w:hAnsi="Arial" w:cs="Arial"/>
          <w:sz w:val="24"/>
          <w:szCs w:val="24"/>
        </w:rPr>
        <w:t xml:space="preserve"> kısa sürede tamamlanac</w:t>
      </w:r>
      <w:r w:rsidR="007525E6" w:rsidRPr="00A53044">
        <w:rPr>
          <w:rFonts w:ascii="Arial" w:hAnsi="Arial" w:cs="Arial"/>
          <w:sz w:val="24"/>
          <w:szCs w:val="24"/>
        </w:rPr>
        <w:t xml:space="preserve">ak projelere </w:t>
      </w:r>
      <w:proofErr w:type="spellStart"/>
      <w:r w:rsidR="007525E6" w:rsidRPr="00A53044">
        <w:rPr>
          <w:rFonts w:ascii="Arial" w:hAnsi="Arial" w:cs="Arial"/>
          <w:sz w:val="24"/>
          <w:szCs w:val="24"/>
        </w:rPr>
        <w:t>yoğunlaşılacak</w:t>
      </w:r>
      <w:proofErr w:type="spellEnd"/>
      <w:r w:rsidR="007525E6" w:rsidRPr="00A53044">
        <w:rPr>
          <w:rFonts w:ascii="Arial" w:hAnsi="Arial" w:cs="Arial"/>
          <w:sz w:val="24"/>
          <w:szCs w:val="24"/>
        </w:rPr>
        <w:t xml:space="preserve">, mevcut sermaye stokundan daha etkin yararlanmak amacıyla idame-yenileme, bakım-onarım ve </w:t>
      </w:r>
      <w:proofErr w:type="gramStart"/>
      <w:r w:rsidR="007525E6" w:rsidRPr="00A53044">
        <w:rPr>
          <w:rFonts w:ascii="Arial" w:hAnsi="Arial" w:cs="Arial"/>
          <w:sz w:val="24"/>
          <w:szCs w:val="24"/>
        </w:rPr>
        <w:t>rehabilitasyon</w:t>
      </w:r>
      <w:proofErr w:type="gramEnd"/>
      <w:r w:rsidR="007525E6" w:rsidRPr="00A53044">
        <w:rPr>
          <w:rFonts w:ascii="Arial" w:hAnsi="Arial" w:cs="Arial"/>
          <w:sz w:val="24"/>
          <w:szCs w:val="24"/>
        </w:rPr>
        <w:t xml:space="preserve"> harcamalarına ağırlık verilecektir</w:t>
      </w:r>
      <w:r w:rsidR="006D2BC5" w:rsidRPr="006D2BC5">
        <w:rPr>
          <w:rFonts w:ascii="Arial" w:hAnsi="Arial" w:cs="Arial"/>
          <w:sz w:val="24"/>
          <w:szCs w:val="24"/>
        </w:rPr>
        <w:t>.</w:t>
      </w:r>
    </w:p>
    <w:p w:rsidR="00F14358" w:rsidRPr="001A4139" w:rsidRDefault="006E7803"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F14358">
        <w:rPr>
          <w:rFonts w:ascii="Arial" w:hAnsi="Arial" w:cs="Arial"/>
          <w:sz w:val="24"/>
          <w:szCs w:val="24"/>
        </w:rPr>
        <w:t>Kamu ve özel kesim yatırımları birbirlerini tamamlayacak şekilde bütüncül bir bakış açısıyla ele alınarak, kamu yatırımları, özel sektör tarafından gerçekleştirilemeyecek ekonomik ve sosyal altyapı alanlarında yoğunlaştırılacaktır.</w:t>
      </w:r>
    </w:p>
    <w:p w:rsidR="0098389D" w:rsidRPr="001A4139" w:rsidRDefault="006E7803"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B53A65">
        <w:rPr>
          <w:rFonts w:ascii="Arial" w:hAnsi="Arial" w:cs="Arial"/>
          <w:sz w:val="24"/>
          <w:szCs w:val="24"/>
        </w:rPr>
        <w:t xml:space="preserve">Kamu yatırımlarında, KÖİ modeliyle yürütülenler dâhil, eğitim, sağlık, içme suyu ve kanalizasyon, bilim-teknoloji, </w:t>
      </w:r>
      <w:r w:rsidR="00144BEB">
        <w:rPr>
          <w:rFonts w:ascii="Arial" w:hAnsi="Arial" w:cs="Arial"/>
          <w:sz w:val="24"/>
          <w:szCs w:val="24"/>
        </w:rPr>
        <w:t xml:space="preserve">bilişim, </w:t>
      </w:r>
      <w:r w:rsidRPr="00B53A65">
        <w:rPr>
          <w:rFonts w:ascii="Arial" w:hAnsi="Arial" w:cs="Arial"/>
          <w:sz w:val="24"/>
          <w:szCs w:val="24"/>
        </w:rPr>
        <w:t>ulaştırma ve sulama sektörlerine öncelik verilecektir.</w:t>
      </w:r>
    </w:p>
    <w:p w:rsidR="00CB6563" w:rsidRPr="001A4139" w:rsidRDefault="00A37F18"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A37F18">
        <w:rPr>
          <w:rFonts w:ascii="Arial" w:hAnsi="Arial" w:cs="Arial"/>
          <w:sz w:val="24"/>
          <w:szCs w:val="24"/>
        </w:rPr>
        <w:t>GAP, DAP, KOP ve DOKAP bölgelerinde eylem planları kapsamında; özel sektör yatırımlarını destekleyecek ekonomik ve sosyal altyapı ile beşeri kaynakların geliştirilmesine yönelik projelerin ve eylem planlarındaki diğer projelerin gerçekleştirilmesine devam edilecektir.</w:t>
      </w:r>
    </w:p>
    <w:p w:rsidR="00D3040C" w:rsidRPr="001A4139" w:rsidRDefault="006E7803"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6910E6">
        <w:rPr>
          <w:rFonts w:ascii="Arial" w:hAnsi="Arial" w:cs="Arial"/>
          <w:sz w:val="24"/>
          <w:szCs w:val="24"/>
        </w:rPr>
        <w:t xml:space="preserve">KÖİ uygulamalarına ilişkin bir strateji belgesi hazırlanmasına, KÖİ mevzuatının çerçeve bir kanun altında toplanmasına, KÖİ politika ve uygulamalarının koordinasyonunun güçlendirilmesine yönelik çalışmalar başlatılacaktır. </w:t>
      </w:r>
    </w:p>
    <w:p w:rsidR="006E7803" w:rsidRPr="00B32578" w:rsidRDefault="006E7803"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525C5A">
        <w:rPr>
          <w:rFonts w:ascii="Arial" w:hAnsi="Arial" w:cs="Arial"/>
          <w:sz w:val="24"/>
          <w:szCs w:val="24"/>
        </w:rPr>
        <w:t>Kamu yatırım projelerinin planlanması, uygulanması, izlenmesi ve değerlendirilmesi süreci güçlendirilecek, bu kapsamda kamu kurum ve kuruluşlarının</w:t>
      </w:r>
      <w:r w:rsidR="00B32578">
        <w:rPr>
          <w:rFonts w:ascii="Arial" w:hAnsi="Arial" w:cs="Arial"/>
          <w:sz w:val="24"/>
          <w:szCs w:val="24"/>
        </w:rPr>
        <w:t xml:space="preserve"> kapasiteleri geliştirilecektir.</w:t>
      </w:r>
    </w:p>
    <w:p w:rsidR="00B73056" w:rsidRPr="00276B6A" w:rsidRDefault="00D71AD9" w:rsidP="00D71AD9">
      <w:pPr>
        <w:pStyle w:val="ListeParagraf"/>
        <w:tabs>
          <w:tab w:val="left" w:pos="426"/>
        </w:tabs>
        <w:autoSpaceDE w:val="0"/>
        <w:autoSpaceDN w:val="0"/>
        <w:adjustRightInd w:val="0"/>
        <w:spacing w:after="120" w:line="360" w:lineRule="auto"/>
        <w:ind w:left="0"/>
        <w:contextualSpacing w:val="0"/>
        <w:jc w:val="both"/>
        <w:rPr>
          <w:rFonts w:ascii="Arial" w:hAnsi="Arial" w:cs="Arial"/>
          <w:b/>
          <w:sz w:val="24"/>
          <w:szCs w:val="24"/>
        </w:rPr>
      </w:pPr>
      <w:r>
        <w:rPr>
          <w:rFonts w:ascii="Arial" w:hAnsi="Arial" w:cs="Arial"/>
          <w:b/>
          <w:sz w:val="24"/>
          <w:szCs w:val="24"/>
        </w:rPr>
        <w:tab/>
      </w:r>
      <w:r>
        <w:rPr>
          <w:rFonts w:ascii="Arial" w:hAnsi="Arial" w:cs="Arial"/>
          <w:b/>
          <w:sz w:val="24"/>
          <w:szCs w:val="24"/>
        </w:rPr>
        <w:tab/>
      </w:r>
      <w:proofErr w:type="gramStart"/>
      <w:r w:rsidR="00B73056" w:rsidRPr="00276B6A">
        <w:rPr>
          <w:rFonts w:ascii="Arial" w:hAnsi="Arial" w:cs="Arial"/>
          <w:b/>
          <w:sz w:val="24"/>
          <w:szCs w:val="24"/>
        </w:rPr>
        <w:t>c</w:t>
      </w:r>
      <w:proofErr w:type="gramEnd"/>
      <w:r w:rsidR="00B73056" w:rsidRPr="00276B6A">
        <w:rPr>
          <w:rFonts w:ascii="Arial" w:hAnsi="Arial" w:cs="Arial"/>
          <w:b/>
          <w:sz w:val="24"/>
          <w:szCs w:val="24"/>
        </w:rPr>
        <w:t>. Kamu Gelir Politikası</w:t>
      </w:r>
    </w:p>
    <w:p w:rsidR="00B73056" w:rsidRPr="00276B6A"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K</w:t>
      </w:r>
      <w:r w:rsidRPr="00276B6A">
        <w:rPr>
          <w:rFonts w:ascii="Arial" w:hAnsi="Arial" w:cs="Arial"/>
          <w:sz w:val="24"/>
          <w:szCs w:val="24"/>
        </w:rPr>
        <w:t>amu mali sisteminin ihtiyaç duyduğu gelirler</w:t>
      </w:r>
      <w:r>
        <w:rPr>
          <w:rFonts w:ascii="Arial" w:hAnsi="Arial" w:cs="Arial"/>
          <w:sz w:val="24"/>
          <w:szCs w:val="24"/>
        </w:rPr>
        <w:t>in</w:t>
      </w:r>
      <w:r w:rsidRPr="00276B6A">
        <w:rPr>
          <w:rFonts w:ascii="Arial" w:hAnsi="Arial" w:cs="Arial"/>
          <w:sz w:val="24"/>
          <w:szCs w:val="24"/>
        </w:rPr>
        <w:t xml:space="preserve"> sağlıklı ve sürekli kaynaklardan elde </w:t>
      </w:r>
      <w:r>
        <w:rPr>
          <w:rFonts w:ascii="Arial" w:hAnsi="Arial" w:cs="Arial"/>
          <w:sz w:val="24"/>
          <w:szCs w:val="24"/>
        </w:rPr>
        <w:t>edilmesi temel amaçtır.</w:t>
      </w:r>
      <w:r w:rsidRPr="00276B6A">
        <w:rPr>
          <w:rFonts w:ascii="Arial" w:hAnsi="Arial" w:cs="Arial"/>
          <w:sz w:val="24"/>
          <w:szCs w:val="24"/>
        </w:rPr>
        <w:t xml:space="preserve"> </w:t>
      </w:r>
      <w:r>
        <w:rPr>
          <w:rFonts w:ascii="Arial" w:hAnsi="Arial" w:cs="Arial"/>
          <w:sz w:val="24"/>
          <w:szCs w:val="24"/>
        </w:rPr>
        <w:t>Vergi politikası,</w:t>
      </w:r>
      <w:r w:rsidRPr="00276B6A">
        <w:rPr>
          <w:rFonts w:ascii="Arial" w:hAnsi="Arial" w:cs="Arial"/>
          <w:sz w:val="24"/>
          <w:szCs w:val="24"/>
        </w:rPr>
        <w:t xml:space="preserve"> gelir dağılımını</w:t>
      </w:r>
      <w:r>
        <w:rPr>
          <w:rFonts w:ascii="Arial" w:hAnsi="Arial" w:cs="Arial"/>
          <w:sz w:val="24"/>
          <w:szCs w:val="24"/>
        </w:rPr>
        <w:t>n</w:t>
      </w:r>
      <w:r w:rsidRPr="00276B6A">
        <w:rPr>
          <w:rFonts w:ascii="Arial" w:hAnsi="Arial" w:cs="Arial"/>
          <w:sz w:val="24"/>
          <w:szCs w:val="24"/>
        </w:rPr>
        <w:t xml:space="preserve"> iyileştir</w:t>
      </w:r>
      <w:r>
        <w:rPr>
          <w:rFonts w:ascii="Arial" w:hAnsi="Arial" w:cs="Arial"/>
          <w:sz w:val="24"/>
          <w:szCs w:val="24"/>
        </w:rPr>
        <w:t>il</w:t>
      </w:r>
      <w:r w:rsidRPr="00276B6A">
        <w:rPr>
          <w:rFonts w:ascii="Arial" w:hAnsi="Arial" w:cs="Arial"/>
          <w:sz w:val="24"/>
          <w:szCs w:val="24"/>
        </w:rPr>
        <w:t>mesi</w:t>
      </w:r>
      <w:r>
        <w:rPr>
          <w:rFonts w:ascii="Arial" w:hAnsi="Arial" w:cs="Arial"/>
          <w:sz w:val="24"/>
          <w:szCs w:val="24"/>
        </w:rPr>
        <w:t>ne</w:t>
      </w:r>
      <w:r w:rsidRPr="00276B6A">
        <w:rPr>
          <w:rFonts w:ascii="Arial" w:hAnsi="Arial" w:cs="Arial"/>
          <w:sz w:val="24"/>
          <w:szCs w:val="24"/>
        </w:rPr>
        <w:t>, sürdürülebilir kalkınmaya katkı sağla</w:t>
      </w:r>
      <w:r>
        <w:rPr>
          <w:rFonts w:ascii="Arial" w:hAnsi="Arial" w:cs="Arial"/>
          <w:sz w:val="24"/>
          <w:szCs w:val="24"/>
        </w:rPr>
        <w:t>n</w:t>
      </w:r>
      <w:r w:rsidRPr="00276B6A">
        <w:rPr>
          <w:rFonts w:ascii="Arial" w:hAnsi="Arial" w:cs="Arial"/>
          <w:sz w:val="24"/>
          <w:szCs w:val="24"/>
        </w:rPr>
        <w:t>ması</w:t>
      </w:r>
      <w:r>
        <w:rPr>
          <w:rFonts w:ascii="Arial" w:hAnsi="Arial" w:cs="Arial"/>
          <w:sz w:val="24"/>
          <w:szCs w:val="24"/>
        </w:rPr>
        <w:t>na,</w:t>
      </w:r>
      <w:r w:rsidRPr="00276B6A">
        <w:rPr>
          <w:rFonts w:ascii="Arial" w:hAnsi="Arial" w:cs="Arial"/>
          <w:sz w:val="24"/>
          <w:szCs w:val="24"/>
        </w:rPr>
        <w:t xml:space="preserve"> ekonominin rekabet gücünü</w:t>
      </w:r>
      <w:r>
        <w:rPr>
          <w:rFonts w:ascii="Arial" w:hAnsi="Arial" w:cs="Arial"/>
          <w:sz w:val="24"/>
          <w:szCs w:val="24"/>
        </w:rPr>
        <w:t>n</w:t>
      </w:r>
      <w:r w:rsidRPr="00276B6A">
        <w:rPr>
          <w:rFonts w:ascii="Arial" w:hAnsi="Arial" w:cs="Arial"/>
          <w:sz w:val="24"/>
          <w:szCs w:val="24"/>
        </w:rPr>
        <w:t xml:space="preserve"> </w:t>
      </w:r>
      <w:r>
        <w:rPr>
          <w:rFonts w:ascii="Arial" w:hAnsi="Arial" w:cs="Arial"/>
          <w:sz w:val="24"/>
          <w:szCs w:val="24"/>
        </w:rPr>
        <w:t>ve yurt</w:t>
      </w:r>
      <w:r w:rsidR="00994C34">
        <w:rPr>
          <w:rFonts w:ascii="Arial" w:hAnsi="Arial" w:cs="Arial"/>
          <w:sz w:val="24"/>
          <w:szCs w:val="24"/>
        </w:rPr>
        <w:t xml:space="preserve"> </w:t>
      </w:r>
      <w:r>
        <w:rPr>
          <w:rFonts w:ascii="Arial" w:hAnsi="Arial" w:cs="Arial"/>
          <w:sz w:val="24"/>
          <w:szCs w:val="24"/>
        </w:rPr>
        <w:t xml:space="preserve">içi tasarrufların </w:t>
      </w:r>
      <w:r w:rsidRPr="00276B6A">
        <w:rPr>
          <w:rFonts w:ascii="Arial" w:hAnsi="Arial" w:cs="Arial"/>
          <w:sz w:val="24"/>
          <w:szCs w:val="24"/>
        </w:rPr>
        <w:t>artır</w:t>
      </w:r>
      <w:r>
        <w:rPr>
          <w:rFonts w:ascii="Arial" w:hAnsi="Arial" w:cs="Arial"/>
          <w:sz w:val="24"/>
          <w:szCs w:val="24"/>
        </w:rPr>
        <w:t>ıl</w:t>
      </w:r>
      <w:r w:rsidRPr="00276B6A">
        <w:rPr>
          <w:rFonts w:ascii="Arial" w:hAnsi="Arial" w:cs="Arial"/>
          <w:sz w:val="24"/>
          <w:szCs w:val="24"/>
        </w:rPr>
        <w:t>ması</w:t>
      </w:r>
      <w:r>
        <w:rPr>
          <w:rFonts w:ascii="Arial" w:hAnsi="Arial" w:cs="Arial"/>
          <w:sz w:val="24"/>
          <w:szCs w:val="24"/>
        </w:rPr>
        <w:t>na yönelik olarak uygulanacaktır</w:t>
      </w:r>
      <w:r w:rsidRPr="00276B6A">
        <w:rPr>
          <w:rFonts w:ascii="Arial" w:hAnsi="Arial" w:cs="Arial"/>
          <w:sz w:val="24"/>
          <w:szCs w:val="24"/>
        </w:rPr>
        <w:t>. Vergi politikalarının uygulanmasında istikrar, vergilendirmede öngörülebilirlik esas olacaktır.</w:t>
      </w:r>
    </w:p>
    <w:p w:rsidR="00B73056" w:rsidRPr="00276B6A"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Vergi politikası, üretim faktörlerinin etkin dağılımının sağlanması ile istihdam ve yatırımların teşvik edilmesinde araç olarak kullanılacaktır.</w:t>
      </w:r>
    </w:p>
    <w:p w:rsidR="00B73056" w:rsidRPr="00276B6A"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 xml:space="preserve">Temel vergi mevzuatının, ekonomik ve sosyal politikalar gözetilerek sade ve </w:t>
      </w:r>
      <w:r w:rsidRPr="00636A27">
        <w:rPr>
          <w:rFonts w:ascii="Arial" w:hAnsi="Arial" w:cs="Arial"/>
          <w:sz w:val="24"/>
          <w:szCs w:val="24"/>
        </w:rPr>
        <w:t>mükelleflerin uyum sağlayabileceği hale</w:t>
      </w:r>
      <w:r w:rsidRPr="00276B6A">
        <w:rPr>
          <w:rFonts w:ascii="Arial" w:hAnsi="Arial" w:cs="Arial"/>
          <w:sz w:val="24"/>
          <w:szCs w:val="24"/>
        </w:rPr>
        <w:t xml:space="preserve"> getirilmesine yönelik çalışmalar sürdürülecektir.</w:t>
      </w:r>
    </w:p>
    <w:p w:rsidR="00B73056" w:rsidRPr="00276B6A"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Gelir politikası uygulama sonuçları kamuoyuyla daha düzenli ve ayrıntılı bir şekilde paylaşılacaktır.</w:t>
      </w:r>
    </w:p>
    <w:p w:rsidR="00B73056" w:rsidRPr="00276B6A"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Elektronik ticarette vergi kaybının önlenmesine yönelik gerekli hukuki ve idari düzenlemeler hayata geçirilecektir.</w:t>
      </w:r>
    </w:p>
    <w:p w:rsidR="00B73056" w:rsidRPr="00C15ED4"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C15ED4">
        <w:rPr>
          <w:rFonts w:ascii="Arial" w:hAnsi="Arial" w:cs="Arial"/>
          <w:sz w:val="24"/>
          <w:szCs w:val="24"/>
        </w:rPr>
        <w:t xml:space="preserve">Haksız rekabetin önlenmesi, ekonomide rekabet gücünün ve kamu gelirlerinin artırılması amacıyla </w:t>
      </w:r>
      <w:proofErr w:type="spellStart"/>
      <w:r w:rsidRPr="00C15ED4">
        <w:rPr>
          <w:rFonts w:ascii="Arial" w:hAnsi="Arial" w:cs="Arial"/>
          <w:sz w:val="24"/>
          <w:szCs w:val="24"/>
        </w:rPr>
        <w:t>kayıtdışılıkla</w:t>
      </w:r>
      <w:proofErr w:type="spellEnd"/>
      <w:r w:rsidRPr="00C15ED4">
        <w:rPr>
          <w:rFonts w:ascii="Arial" w:hAnsi="Arial" w:cs="Arial"/>
          <w:sz w:val="24"/>
          <w:szCs w:val="24"/>
        </w:rPr>
        <w:t xml:space="preserve"> etkin bir şekilde mücadele edilecektir. Bu kapsamda; denetim </w:t>
      </w:r>
      <w:r w:rsidR="00AE2E4B">
        <w:rPr>
          <w:rFonts w:ascii="Arial" w:hAnsi="Arial" w:cs="Arial"/>
          <w:sz w:val="24"/>
          <w:szCs w:val="24"/>
        </w:rPr>
        <w:t xml:space="preserve">kapasitesi artırılacak ve </w:t>
      </w:r>
      <w:r w:rsidRPr="00C15ED4">
        <w:rPr>
          <w:rFonts w:ascii="Arial" w:hAnsi="Arial" w:cs="Arial"/>
          <w:sz w:val="24"/>
          <w:szCs w:val="24"/>
        </w:rPr>
        <w:t>etkinleştirilecek, idare</w:t>
      </w:r>
      <w:r w:rsidR="00AE2E4B">
        <w:rPr>
          <w:rFonts w:ascii="Arial" w:hAnsi="Arial" w:cs="Arial"/>
          <w:sz w:val="24"/>
          <w:szCs w:val="24"/>
        </w:rPr>
        <w:t>ler</w:t>
      </w:r>
      <w:r w:rsidRPr="00C15ED4">
        <w:rPr>
          <w:rFonts w:ascii="Arial" w:hAnsi="Arial" w:cs="Arial"/>
          <w:sz w:val="24"/>
          <w:szCs w:val="24"/>
        </w:rPr>
        <w:t>in uygulama kapasitesi ve bilişim altyapısı geliştirilecek, kaçakçılıkla mücadele, kurumlar arası işbirliği ile veri paylaşımı artırılacak ve toplumsal farkındalık yaygınlaştırılacaktır.</w:t>
      </w:r>
    </w:p>
    <w:p w:rsidR="00B73056" w:rsidRPr="00C15ED4"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C15ED4">
        <w:rPr>
          <w:rFonts w:ascii="Arial" w:hAnsi="Arial" w:cs="Arial"/>
          <w:sz w:val="24"/>
          <w:szCs w:val="24"/>
        </w:rPr>
        <w:t>Kamu mali dengelerinin imkân verdiği ölçüde, ticari faaliyetler üzerindeki işlem vergilerinde indirime gidilecektir.</w:t>
      </w:r>
    </w:p>
    <w:p w:rsidR="00B73056" w:rsidRPr="00276B6A"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Vergi tabanı, vergilemenin daha adil olmasını ve mali fonksiyonunu yerine getirmesini sağlayacak şekilde genişletilecektir.</w:t>
      </w:r>
    </w:p>
    <w:p w:rsidR="00B73056" w:rsidRPr="00276B6A"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Vergi politikalarının belirlenmesinde ve uygulanmasında, iklim değişikliğiyle mücadele edilmesine ve enerji tüketiminde tasarruf sağlanmasına yönelik öncelikler gözetilecektir.</w:t>
      </w:r>
    </w:p>
    <w:p w:rsidR="00B73056" w:rsidRPr="00276B6A"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Kamu taşınmazlarının etkili, ekonomik ve verimli bir şekilde kullanılmasına yönelik olarak satış dâhil tüm alternatifler değerlendirilecektir.</w:t>
      </w:r>
    </w:p>
    <w:p w:rsidR="00B73056" w:rsidRPr="00276B6A"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 xml:space="preserve">Yerel yönetimlerin mali imkânlarını güçlendirmek için kentsel </w:t>
      </w:r>
      <w:proofErr w:type="gramStart"/>
      <w:r w:rsidRPr="00276B6A">
        <w:rPr>
          <w:rFonts w:ascii="Arial" w:hAnsi="Arial" w:cs="Arial"/>
          <w:sz w:val="24"/>
          <w:szCs w:val="24"/>
        </w:rPr>
        <w:t>rantlar</w:t>
      </w:r>
      <w:proofErr w:type="gramEnd"/>
      <w:r w:rsidRPr="00276B6A">
        <w:rPr>
          <w:rFonts w:ascii="Arial" w:hAnsi="Arial" w:cs="Arial"/>
          <w:sz w:val="24"/>
          <w:szCs w:val="24"/>
        </w:rPr>
        <w:t xml:space="preserve"> da değerlendirilerek yerel yönetimlerin öz gelirleri artırılacaktır.</w:t>
      </w:r>
    </w:p>
    <w:p w:rsidR="00B73056" w:rsidRPr="00BC0EFF" w:rsidRDefault="00D71AD9" w:rsidP="00D71AD9">
      <w:pPr>
        <w:pStyle w:val="ListeParagraf"/>
        <w:tabs>
          <w:tab w:val="left" w:pos="426"/>
        </w:tabs>
        <w:autoSpaceDE w:val="0"/>
        <w:autoSpaceDN w:val="0"/>
        <w:adjustRightInd w:val="0"/>
        <w:spacing w:after="120" w:line="360" w:lineRule="auto"/>
        <w:ind w:left="0"/>
        <w:contextualSpacing w:val="0"/>
        <w:jc w:val="both"/>
        <w:rPr>
          <w:rFonts w:ascii="Arial" w:hAnsi="Arial" w:cs="Arial"/>
          <w:b/>
          <w:sz w:val="24"/>
          <w:szCs w:val="24"/>
        </w:rPr>
      </w:pPr>
      <w:r>
        <w:rPr>
          <w:rFonts w:ascii="Arial" w:hAnsi="Arial" w:cs="Arial"/>
          <w:b/>
          <w:sz w:val="24"/>
          <w:szCs w:val="24"/>
        </w:rPr>
        <w:tab/>
      </w:r>
      <w:r>
        <w:rPr>
          <w:rFonts w:ascii="Arial" w:hAnsi="Arial" w:cs="Arial"/>
          <w:b/>
          <w:sz w:val="24"/>
          <w:szCs w:val="24"/>
        </w:rPr>
        <w:tab/>
      </w:r>
      <w:proofErr w:type="gramStart"/>
      <w:r w:rsidR="00FD203F">
        <w:rPr>
          <w:rFonts w:ascii="Arial" w:hAnsi="Arial" w:cs="Arial"/>
          <w:b/>
          <w:sz w:val="24"/>
          <w:szCs w:val="24"/>
        </w:rPr>
        <w:t>ç</w:t>
      </w:r>
      <w:proofErr w:type="gramEnd"/>
      <w:r w:rsidR="00B73056" w:rsidRPr="00BC0EFF">
        <w:rPr>
          <w:rFonts w:ascii="Arial" w:hAnsi="Arial" w:cs="Arial"/>
          <w:b/>
          <w:sz w:val="24"/>
          <w:szCs w:val="24"/>
        </w:rPr>
        <w:t>. Kamu Borçlanma Politikası</w:t>
      </w:r>
    </w:p>
    <w:p w:rsidR="00B73056" w:rsidRPr="00821972"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821972">
        <w:rPr>
          <w:rFonts w:ascii="Arial" w:hAnsi="Arial" w:cs="Arial"/>
          <w:sz w:val="24"/>
          <w:szCs w:val="24"/>
        </w:rPr>
        <w:t>Makroekonomik dengeleri gözeten; para ve maliye politikalarıyla uyumlu; sürdürülebilir, saydam ve hesap verilebilir bir borçlanma politikası izlenmesi esastır. Kamu borçlanma politikası, iç ve dış piyasa koşulları ile maliyet unsurları göz önüne alınarak belirlenen risk düzeyi çerçevesinde, finansman ihtiyacının orta ve uzun vadede mümkün olan en uygun maliyetle karşılanmasını sağlayacak şekilde yürütülecektir.</w:t>
      </w:r>
    </w:p>
    <w:p w:rsidR="00B73056" w:rsidRPr="001A4139"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1A4139">
        <w:rPr>
          <w:rFonts w:ascii="Arial" w:hAnsi="Arial" w:cs="Arial"/>
          <w:sz w:val="24"/>
          <w:szCs w:val="24"/>
        </w:rPr>
        <w:t xml:space="preserve">Stratejik ölçütlere dayalı borçlanma politikası uygulaması sürdürülecek, bu kapsamda borçlanmanın ağırlıklı olarak TL cinsinden ve sabit faizli </w:t>
      </w:r>
      <w:proofErr w:type="gramStart"/>
      <w:r w:rsidRPr="001A4139">
        <w:rPr>
          <w:rFonts w:ascii="Arial" w:hAnsi="Arial" w:cs="Arial"/>
          <w:sz w:val="24"/>
          <w:szCs w:val="24"/>
        </w:rPr>
        <w:t>enstrümanlarla</w:t>
      </w:r>
      <w:proofErr w:type="gramEnd"/>
      <w:r w:rsidRPr="001A4139">
        <w:rPr>
          <w:rFonts w:ascii="Arial" w:hAnsi="Arial" w:cs="Arial"/>
          <w:sz w:val="24"/>
          <w:szCs w:val="24"/>
        </w:rPr>
        <w:t xml:space="preserve"> yapılması suretiyle döviz kuru ve faiz oranı riski; ortalama vadenin uzatılması ve Hazine’nin güçlü rezerv tutması suretiyle likidite riski yönetilecektir.</w:t>
      </w:r>
    </w:p>
    <w:p w:rsidR="00B73056" w:rsidRPr="001A4139"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1A4139">
        <w:rPr>
          <w:rFonts w:ascii="Arial" w:hAnsi="Arial" w:cs="Arial"/>
          <w:sz w:val="24"/>
          <w:szCs w:val="24"/>
        </w:rPr>
        <w:t>Borç servisinin dönemler arası dengeli dağılmasının sağlanması ve ikincil piyasada fiyat etkinliğinin artırılması amacıyla değişim ve geri alım ihaleleri yapılabilecektir.</w:t>
      </w:r>
    </w:p>
    <w:p w:rsidR="00B73056" w:rsidRPr="001A4139"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1A4139">
        <w:rPr>
          <w:rFonts w:ascii="Arial" w:hAnsi="Arial" w:cs="Arial"/>
          <w:sz w:val="24"/>
          <w:szCs w:val="24"/>
        </w:rPr>
        <w:t xml:space="preserve">İkincil piyasalarda sağlıklı bir verim eğrisinin oluşturulması ve likiditenin sağlanmasına yönelik olarak senetlerin azalan vadelerde yeniden ihraç edilmesi ve ölçüt senet politikası gibi uygulamalara </w:t>
      </w:r>
      <w:r w:rsidR="0021792B">
        <w:rPr>
          <w:rFonts w:ascii="Arial" w:hAnsi="Arial" w:cs="Arial"/>
          <w:sz w:val="24"/>
          <w:szCs w:val="24"/>
        </w:rPr>
        <w:t>devam edilecektir</w:t>
      </w:r>
      <w:r w:rsidRPr="001A4139">
        <w:rPr>
          <w:rFonts w:ascii="Arial" w:hAnsi="Arial" w:cs="Arial"/>
          <w:sz w:val="24"/>
          <w:szCs w:val="24"/>
        </w:rPr>
        <w:t>.</w:t>
      </w:r>
    </w:p>
    <w:p w:rsidR="00B73056" w:rsidRPr="001A4139"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1A4139">
        <w:rPr>
          <w:rFonts w:ascii="Arial" w:hAnsi="Arial" w:cs="Arial"/>
          <w:sz w:val="24"/>
          <w:szCs w:val="24"/>
        </w:rPr>
        <w:t>Devlet iç borçlanma senetleri yatırımcı tabanının genişletilmesi amacıyla yeni araçların ve yatırımcı ilişkilerinin geliştirilmesine ilişkin çalışmalara devam edilecektir.</w:t>
      </w:r>
    </w:p>
    <w:p w:rsidR="00B73056" w:rsidRPr="001A4139"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1A4139">
        <w:rPr>
          <w:rFonts w:ascii="Arial" w:hAnsi="Arial" w:cs="Arial"/>
          <w:sz w:val="24"/>
          <w:szCs w:val="24"/>
        </w:rPr>
        <w:t>Piyasa yapıcılığı sistemi sürdürülecektir.</w:t>
      </w:r>
    </w:p>
    <w:p w:rsidR="00B73056" w:rsidRPr="001A4139" w:rsidRDefault="00B53A65"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1A4139">
        <w:rPr>
          <w:rFonts w:ascii="Arial" w:hAnsi="Arial" w:cs="Arial"/>
          <w:sz w:val="24"/>
          <w:szCs w:val="24"/>
        </w:rPr>
        <w:t>T</w:t>
      </w:r>
      <w:r w:rsidR="00B73056" w:rsidRPr="001A4139">
        <w:rPr>
          <w:rFonts w:ascii="Arial" w:hAnsi="Arial" w:cs="Arial"/>
          <w:sz w:val="24"/>
          <w:szCs w:val="24"/>
        </w:rPr>
        <w:t>ahvil piyasalarının geliştirilmesi amacıyla çalışmalara devam edilecektir.</w:t>
      </w:r>
    </w:p>
    <w:p w:rsidR="00B73056" w:rsidRPr="00821972" w:rsidRDefault="00D71AD9" w:rsidP="00D71AD9">
      <w:pPr>
        <w:pStyle w:val="ListeParagraf"/>
        <w:tabs>
          <w:tab w:val="left" w:pos="426"/>
        </w:tabs>
        <w:autoSpaceDE w:val="0"/>
        <w:autoSpaceDN w:val="0"/>
        <w:adjustRightInd w:val="0"/>
        <w:spacing w:after="120" w:line="360" w:lineRule="auto"/>
        <w:ind w:left="0"/>
        <w:contextualSpacing w:val="0"/>
        <w:jc w:val="both"/>
        <w:rPr>
          <w:rFonts w:ascii="Arial" w:hAnsi="Arial" w:cs="Arial"/>
          <w:b/>
          <w:sz w:val="24"/>
          <w:szCs w:val="24"/>
        </w:rPr>
      </w:pPr>
      <w:r>
        <w:rPr>
          <w:rFonts w:ascii="Arial" w:hAnsi="Arial" w:cs="Arial"/>
          <w:b/>
          <w:sz w:val="24"/>
          <w:szCs w:val="24"/>
        </w:rPr>
        <w:tab/>
      </w:r>
      <w:r>
        <w:rPr>
          <w:rFonts w:ascii="Arial" w:hAnsi="Arial" w:cs="Arial"/>
          <w:b/>
          <w:sz w:val="24"/>
          <w:szCs w:val="24"/>
        </w:rPr>
        <w:tab/>
      </w:r>
      <w:proofErr w:type="gramStart"/>
      <w:r w:rsidR="0094601D">
        <w:rPr>
          <w:rFonts w:ascii="Arial" w:hAnsi="Arial" w:cs="Arial"/>
          <w:b/>
          <w:sz w:val="24"/>
          <w:szCs w:val="24"/>
        </w:rPr>
        <w:t>d</w:t>
      </w:r>
      <w:proofErr w:type="gramEnd"/>
      <w:r w:rsidR="00B73056" w:rsidRPr="007A2E52">
        <w:rPr>
          <w:rFonts w:ascii="Arial" w:hAnsi="Arial" w:cs="Arial"/>
          <w:b/>
          <w:sz w:val="24"/>
          <w:szCs w:val="24"/>
        </w:rPr>
        <w:t xml:space="preserve">. </w:t>
      </w:r>
      <w:r w:rsidR="00B73056" w:rsidRPr="00821972">
        <w:rPr>
          <w:rFonts w:ascii="Arial" w:hAnsi="Arial" w:cs="Arial"/>
          <w:b/>
          <w:sz w:val="24"/>
          <w:szCs w:val="24"/>
        </w:rPr>
        <w:t>Kamu Mali Yönetimi ve Denetim</w:t>
      </w:r>
    </w:p>
    <w:p w:rsidR="00B73056" w:rsidRPr="007A2E52"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EF506D">
        <w:rPr>
          <w:rFonts w:ascii="Arial" w:hAnsi="Arial" w:cs="Arial"/>
          <w:sz w:val="24"/>
          <w:szCs w:val="24"/>
        </w:rPr>
        <w:t xml:space="preserve">Kamu kaynaklarının etkili, ekonomik ve verimli bir biçimde kullanılabilmesini temin etmek üzere yürürlüğe konulan, özünde saydamlık ve hesap verme sorumluluğunun güçlendirilmesi gibi temel esasları barındıran kamu mali yönetimi ve </w:t>
      </w:r>
      <w:r>
        <w:rPr>
          <w:rFonts w:ascii="Arial" w:hAnsi="Arial" w:cs="Arial"/>
          <w:sz w:val="24"/>
          <w:szCs w:val="24"/>
        </w:rPr>
        <w:t>kontrolüne</w:t>
      </w:r>
      <w:r w:rsidRPr="00EF506D">
        <w:rPr>
          <w:rFonts w:ascii="Arial" w:hAnsi="Arial" w:cs="Arial"/>
          <w:sz w:val="24"/>
          <w:szCs w:val="24"/>
        </w:rPr>
        <w:t xml:space="preserve"> ilişkin temel reformlar önemli ölçüde hayata geçirilmiş bulunmaktadır. Bununla birlikte, reformlardan amaçlanan faydanın temin edilebilmesini sağlamak üzere uygulama etkinliğinin artırılması</w:t>
      </w:r>
      <w:r>
        <w:rPr>
          <w:rFonts w:ascii="Arial" w:hAnsi="Arial" w:cs="Arial"/>
          <w:sz w:val="24"/>
          <w:szCs w:val="24"/>
        </w:rPr>
        <w:t xml:space="preserve"> ile reformdan sapma olarak değerlendirilebilecek düzenleme, istisna hükümleri ve uygulamalardan kaçınılması </w:t>
      </w:r>
      <w:r w:rsidRPr="00EF506D">
        <w:rPr>
          <w:rFonts w:ascii="Arial" w:hAnsi="Arial" w:cs="Arial"/>
          <w:sz w:val="24"/>
          <w:szCs w:val="24"/>
        </w:rPr>
        <w:t>önem arz etmektedir. Bu çerçevede, stratejik planlar</w:t>
      </w:r>
      <w:r>
        <w:rPr>
          <w:rFonts w:ascii="Arial" w:hAnsi="Arial" w:cs="Arial"/>
          <w:sz w:val="24"/>
          <w:szCs w:val="24"/>
        </w:rPr>
        <w:t>ın</w:t>
      </w:r>
      <w:r w:rsidRPr="00EF506D">
        <w:rPr>
          <w:rFonts w:ascii="Arial" w:hAnsi="Arial" w:cs="Arial"/>
          <w:sz w:val="24"/>
          <w:szCs w:val="24"/>
        </w:rPr>
        <w:t xml:space="preserve"> performans program</w:t>
      </w:r>
      <w:r>
        <w:rPr>
          <w:rFonts w:ascii="Arial" w:hAnsi="Arial" w:cs="Arial"/>
          <w:sz w:val="24"/>
          <w:szCs w:val="24"/>
        </w:rPr>
        <w:t>lar</w:t>
      </w:r>
      <w:r w:rsidRPr="00EF506D">
        <w:rPr>
          <w:rFonts w:ascii="Arial" w:hAnsi="Arial" w:cs="Arial"/>
          <w:sz w:val="24"/>
          <w:szCs w:val="24"/>
        </w:rPr>
        <w:t>ı</w:t>
      </w:r>
      <w:r>
        <w:rPr>
          <w:rFonts w:ascii="Arial" w:hAnsi="Arial" w:cs="Arial"/>
          <w:sz w:val="24"/>
          <w:szCs w:val="24"/>
        </w:rPr>
        <w:t xml:space="preserve"> ve bütçelerle</w:t>
      </w:r>
      <w:r w:rsidRPr="00EF506D">
        <w:rPr>
          <w:rFonts w:ascii="Arial" w:hAnsi="Arial" w:cs="Arial"/>
          <w:sz w:val="24"/>
          <w:szCs w:val="24"/>
        </w:rPr>
        <w:t xml:space="preserve"> ilişkisinin </w:t>
      </w:r>
      <w:r>
        <w:rPr>
          <w:rFonts w:ascii="Arial" w:hAnsi="Arial" w:cs="Arial"/>
          <w:sz w:val="24"/>
          <w:szCs w:val="24"/>
        </w:rPr>
        <w:t>güçlendirilmesi</w:t>
      </w:r>
      <w:r w:rsidRPr="00EF506D">
        <w:rPr>
          <w:rFonts w:ascii="Arial" w:hAnsi="Arial" w:cs="Arial"/>
          <w:sz w:val="24"/>
          <w:szCs w:val="24"/>
        </w:rPr>
        <w:t xml:space="preserve">, çok yıllı bütçeleme </w:t>
      </w:r>
      <w:r>
        <w:rPr>
          <w:rFonts w:ascii="Arial" w:hAnsi="Arial" w:cs="Arial"/>
          <w:sz w:val="24"/>
          <w:szCs w:val="24"/>
        </w:rPr>
        <w:t>anlayışının yaygınlaştırılması</w:t>
      </w:r>
      <w:r w:rsidRPr="00EF506D">
        <w:rPr>
          <w:rFonts w:ascii="Arial" w:hAnsi="Arial" w:cs="Arial"/>
          <w:sz w:val="24"/>
          <w:szCs w:val="24"/>
        </w:rPr>
        <w:t>, iç ve dış denetimin etkin ve koordineli bir şekilde çalışmasının sağlanması ve iç kontro</w:t>
      </w:r>
      <w:r w:rsidRPr="007A2E52">
        <w:rPr>
          <w:rFonts w:ascii="Arial" w:hAnsi="Arial" w:cs="Arial"/>
          <w:sz w:val="24"/>
          <w:szCs w:val="24"/>
        </w:rPr>
        <w:t>l sistemlerinin sa</w:t>
      </w:r>
      <w:r>
        <w:rPr>
          <w:rFonts w:ascii="Arial" w:hAnsi="Arial" w:cs="Arial"/>
          <w:sz w:val="24"/>
          <w:szCs w:val="24"/>
        </w:rPr>
        <w:t>ğlıklı bir şekilde işletilmesi hedeflenmektedir.</w:t>
      </w:r>
    </w:p>
    <w:p w:rsidR="00B73056"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7A2E52">
        <w:rPr>
          <w:rFonts w:ascii="Arial" w:hAnsi="Arial" w:cs="Arial"/>
          <w:sz w:val="24"/>
          <w:szCs w:val="24"/>
        </w:rPr>
        <w:t>Kamu idarelerinin faaliyetlerinin, iç kontrol ve iç denetim standartlarına uyum düzeyinin artırılması sağlanacaktır.</w:t>
      </w:r>
    </w:p>
    <w:p w:rsidR="00B73056"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7A2E52">
        <w:rPr>
          <w:rFonts w:ascii="Arial" w:hAnsi="Arial" w:cs="Arial"/>
          <w:sz w:val="24"/>
          <w:szCs w:val="24"/>
        </w:rPr>
        <w:t>Kamu mali yönetiminin insan kaynakları altyapısı nitelik ve nicelik olarak güçlendirilecektir.</w:t>
      </w:r>
    </w:p>
    <w:p w:rsidR="00B73056" w:rsidRPr="006B0AAC" w:rsidRDefault="00B73056"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7A2E52">
        <w:rPr>
          <w:rFonts w:ascii="Arial" w:hAnsi="Arial" w:cs="Arial"/>
          <w:sz w:val="24"/>
          <w:szCs w:val="24"/>
        </w:rPr>
        <w:t>Kamuda etkin bir dış denetimin sağlanması için Sayıştay’ın uygulam</w:t>
      </w:r>
      <w:r>
        <w:rPr>
          <w:rFonts w:ascii="Arial" w:hAnsi="Arial" w:cs="Arial"/>
          <w:sz w:val="24"/>
          <w:szCs w:val="24"/>
        </w:rPr>
        <w:t>a altyapısı güçlendirilecektir.</w:t>
      </w:r>
    </w:p>
    <w:p w:rsidR="00AF4820" w:rsidRPr="00276B6A" w:rsidRDefault="00D71AD9" w:rsidP="00D71AD9">
      <w:pPr>
        <w:pStyle w:val="ListeParagraf"/>
        <w:tabs>
          <w:tab w:val="left" w:pos="426"/>
        </w:tabs>
        <w:autoSpaceDE w:val="0"/>
        <w:autoSpaceDN w:val="0"/>
        <w:adjustRightInd w:val="0"/>
        <w:spacing w:after="120" w:line="360" w:lineRule="auto"/>
        <w:ind w:left="0"/>
        <w:contextualSpacing w:val="0"/>
        <w:jc w:val="both"/>
        <w:rPr>
          <w:rFonts w:ascii="Arial" w:hAnsi="Arial" w:cs="Arial"/>
          <w:b/>
          <w:sz w:val="24"/>
          <w:szCs w:val="24"/>
        </w:rPr>
      </w:pPr>
      <w:r>
        <w:rPr>
          <w:rFonts w:ascii="Arial" w:hAnsi="Arial" w:cs="Arial"/>
          <w:b/>
          <w:sz w:val="24"/>
          <w:szCs w:val="24"/>
        </w:rPr>
        <w:tab/>
      </w:r>
      <w:r>
        <w:rPr>
          <w:rFonts w:ascii="Arial" w:hAnsi="Arial" w:cs="Arial"/>
          <w:b/>
          <w:sz w:val="24"/>
          <w:szCs w:val="24"/>
        </w:rPr>
        <w:tab/>
      </w:r>
      <w:proofErr w:type="gramStart"/>
      <w:r w:rsidR="0094601D">
        <w:rPr>
          <w:rFonts w:ascii="Arial" w:hAnsi="Arial" w:cs="Arial"/>
          <w:b/>
          <w:sz w:val="24"/>
          <w:szCs w:val="24"/>
        </w:rPr>
        <w:t>e</w:t>
      </w:r>
      <w:proofErr w:type="gramEnd"/>
      <w:r w:rsidR="00AF4820" w:rsidRPr="00276B6A">
        <w:rPr>
          <w:rFonts w:ascii="Arial" w:hAnsi="Arial" w:cs="Arial"/>
          <w:b/>
          <w:sz w:val="24"/>
          <w:szCs w:val="24"/>
        </w:rPr>
        <w:t xml:space="preserve">. Kamu İktisadi Teşebbüsleri ve Özelleştirme </w:t>
      </w:r>
    </w:p>
    <w:p w:rsidR="00AF4820" w:rsidRPr="00276B6A" w:rsidRDefault="00AF4820"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 xml:space="preserve">KİT’lerin kârlılık, verimlilik ve kurumsal yönetim ilkelerine uygun olarak işletilmesi esastır. </w:t>
      </w:r>
    </w:p>
    <w:p w:rsidR="00AF4820" w:rsidRPr="00276B6A" w:rsidRDefault="00AF4820"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Fiyatlandırma başta olmak üzere KİT’lerin tüm işletmecilik politikaları, stratejik planlar ile genel yatırım ve finansman kararnamelerinde öngörülen hedeflere ulaşacak şekilde belirlenecek ve etkin bir şekilde uygulanacaktır. KİT faaliyetleri, piyasa mekanizmasını bozucu etkiye neden olmayacak şekilde yürütülecektir.</w:t>
      </w:r>
    </w:p>
    <w:p w:rsidR="00AF4820" w:rsidRPr="00276B6A" w:rsidRDefault="00AF4820"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 xml:space="preserve">KİT’lerde; yetkilendirmeyi, hesap verebilirliği, şeffaflığı, karar alma süreçlerinde etkinliği ve performansa dayalı yönetimi esas alan stratejik yönetim anlayışı yaygınlaştırılacaktır. </w:t>
      </w:r>
    </w:p>
    <w:p w:rsidR="00AF4820" w:rsidRDefault="00AF4820"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FB26CB">
        <w:rPr>
          <w:rFonts w:ascii="Arial" w:hAnsi="Arial" w:cs="Arial"/>
          <w:sz w:val="24"/>
          <w:szCs w:val="24"/>
        </w:rPr>
        <w:t xml:space="preserve">KİT faaliyetlerinin stratejik planlar ve performans programlarına uyumunun artırılmasına yönelik uygulamalar gerçekleştirilecektir. </w:t>
      </w:r>
    </w:p>
    <w:p w:rsidR="00AF4820" w:rsidRPr="00091A9E" w:rsidRDefault="00AF4820"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Bütün KİT’lerde e</w:t>
      </w:r>
      <w:r w:rsidRPr="00FB26CB">
        <w:rPr>
          <w:rFonts w:ascii="Arial" w:hAnsi="Arial" w:cs="Arial"/>
          <w:sz w:val="24"/>
          <w:szCs w:val="24"/>
        </w:rPr>
        <w:t xml:space="preserve">tkili iç denetim ve </w:t>
      </w:r>
      <w:r>
        <w:rPr>
          <w:rFonts w:ascii="Arial" w:hAnsi="Arial" w:cs="Arial"/>
          <w:sz w:val="24"/>
          <w:szCs w:val="24"/>
        </w:rPr>
        <w:t xml:space="preserve">iç kontrol mekanizması kuruluş süreci tamamlanacak </w:t>
      </w:r>
      <w:r w:rsidRPr="00FB26CB">
        <w:rPr>
          <w:rFonts w:ascii="Arial" w:hAnsi="Arial" w:cs="Arial"/>
          <w:sz w:val="24"/>
          <w:szCs w:val="24"/>
        </w:rPr>
        <w:t xml:space="preserve">ve iç denetim birimleri etkin hale getirilecektir. </w:t>
      </w:r>
    </w:p>
    <w:p w:rsidR="00AF4820" w:rsidRDefault="00AF4820"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KİT’ler; sosyal amaçlı ve kamu yararına yönelik faaliyetler için mümkün olduğunca görevlendirilmeyecektir. Bununla birlikte KİT’lerin görevlendirilmesinin zorunlu olması durumunda oluşacak maliyet zamanında karşılanacaktır.</w:t>
      </w:r>
    </w:p>
    <w:p w:rsidR="00AF4820" w:rsidRDefault="00AF4820"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KİT’ler, istikrarlı yüksek büyümeye katkı sağlamak amacıyla teknolojik altyapılarını ve Ar-Ge faaliyetlerini geliştirerek katma değeri yüksek ürünlere yoğunlaşacak, yerli enerji kaynaklarından faydalanacak ve ihracata yönelik yeni fırsatları değerlendirecektir.</w:t>
      </w:r>
      <w:r w:rsidRPr="002D6607">
        <w:rPr>
          <w:rFonts w:ascii="Arial" w:hAnsi="Arial" w:cs="Arial"/>
          <w:sz w:val="24"/>
          <w:szCs w:val="24"/>
        </w:rPr>
        <w:t xml:space="preserve"> </w:t>
      </w:r>
    </w:p>
    <w:p w:rsidR="00AF4820" w:rsidRPr="002D6607" w:rsidRDefault="00AF4820"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KİT’lerde etkin bir istihdam politikası uygulanmasına devam edilecektir.</w:t>
      </w:r>
      <w:r w:rsidRPr="002D6607">
        <w:rPr>
          <w:rFonts w:ascii="Arial" w:hAnsi="Arial" w:cs="Arial"/>
          <w:sz w:val="24"/>
          <w:szCs w:val="24"/>
        </w:rPr>
        <w:t xml:space="preserve"> </w:t>
      </w:r>
    </w:p>
    <w:p w:rsidR="00AF4820" w:rsidRDefault="00AF4820"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KİT’lerde hizmet alım süreçleri etkinleştirilerek mal ve hizmet üretiminde kalite-maliyet dengesi sağlanacaktır.</w:t>
      </w:r>
    </w:p>
    <w:p w:rsidR="00AF4820" w:rsidRPr="00276B6A" w:rsidRDefault="00AF4820"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Y</w:t>
      </w:r>
      <w:r w:rsidRPr="00276B6A">
        <w:rPr>
          <w:rFonts w:ascii="Arial" w:hAnsi="Arial" w:cs="Arial"/>
          <w:sz w:val="24"/>
          <w:szCs w:val="24"/>
        </w:rPr>
        <w:t>urt</w:t>
      </w:r>
      <w:r w:rsidR="00994C34">
        <w:rPr>
          <w:rFonts w:ascii="Arial" w:hAnsi="Arial" w:cs="Arial"/>
          <w:sz w:val="24"/>
          <w:szCs w:val="24"/>
        </w:rPr>
        <w:t xml:space="preserve"> </w:t>
      </w:r>
      <w:r w:rsidRPr="00276B6A">
        <w:rPr>
          <w:rFonts w:ascii="Arial" w:hAnsi="Arial" w:cs="Arial"/>
          <w:sz w:val="24"/>
          <w:szCs w:val="24"/>
        </w:rPr>
        <w:t>içi ve yurt</w:t>
      </w:r>
      <w:r w:rsidR="00994C34">
        <w:rPr>
          <w:rFonts w:ascii="Arial" w:hAnsi="Arial" w:cs="Arial"/>
          <w:sz w:val="24"/>
          <w:szCs w:val="24"/>
        </w:rPr>
        <w:t xml:space="preserve"> </w:t>
      </w:r>
      <w:r w:rsidRPr="00276B6A">
        <w:rPr>
          <w:rFonts w:ascii="Arial" w:hAnsi="Arial" w:cs="Arial"/>
          <w:sz w:val="24"/>
          <w:szCs w:val="24"/>
        </w:rPr>
        <w:t xml:space="preserve">dışında petrol ve doğal gaz arama faaliyetleri hızlandırılacak, linyit kömürü ve jeotermal gibi yerli kaynakların arama </w:t>
      </w:r>
      <w:r>
        <w:rPr>
          <w:rFonts w:ascii="Arial" w:hAnsi="Arial" w:cs="Arial"/>
          <w:sz w:val="24"/>
          <w:szCs w:val="24"/>
        </w:rPr>
        <w:t>ve üretim faaliyetleri azami seviye</w:t>
      </w:r>
      <w:r w:rsidRPr="00276B6A">
        <w:rPr>
          <w:rFonts w:ascii="Arial" w:hAnsi="Arial" w:cs="Arial"/>
          <w:sz w:val="24"/>
          <w:szCs w:val="24"/>
        </w:rPr>
        <w:t>ye çıkarılac</w:t>
      </w:r>
      <w:r w:rsidR="00304DB9">
        <w:rPr>
          <w:rFonts w:ascii="Arial" w:hAnsi="Arial" w:cs="Arial"/>
          <w:sz w:val="24"/>
          <w:szCs w:val="24"/>
        </w:rPr>
        <w:t>aktır. Kaya gazı ve diğer</w:t>
      </w:r>
      <w:r>
        <w:rPr>
          <w:rFonts w:ascii="Arial" w:hAnsi="Arial" w:cs="Arial"/>
          <w:sz w:val="24"/>
          <w:szCs w:val="24"/>
        </w:rPr>
        <w:t xml:space="preserve"> </w:t>
      </w:r>
      <w:r w:rsidR="00304DB9">
        <w:rPr>
          <w:rFonts w:ascii="Arial" w:hAnsi="Arial" w:cs="Arial"/>
          <w:sz w:val="24"/>
          <w:szCs w:val="24"/>
        </w:rPr>
        <w:t xml:space="preserve">yeni teknolojilere </w:t>
      </w:r>
      <w:r>
        <w:rPr>
          <w:rFonts w:ascii="Arial" w:hAnsi="Arial" w:cs="Arial"/>
          <w:sz w:val="24"/>
          <w:szCs w:val="24"/>
        </w:rPr>
        <w:t xml:space="preserve">yönelik </w:t>
      </w:r>
      <w:r w:rsidRPr="00276B6A">
        <w:rPr>
          <w:rFonts w:ascii="Arial" w:hAnsi="Arial" w:cs="Arial"/>
          <w:sz w:val="24"/>
          <w:szCs w:val="24"/>
        </w:rPr>
        <w:t>kapsamlı araşt</w:t>
      </w:r>
      <w:r>
        <w:rPr>
          <w:rFonts w:ascii="Arial" w:hAnsi="Arial" w:cs="Arial"/>
          <w:sz w:val="24"/>
          <w:szCs w:val="24"/>
        </w:rPr>
        <w:t>ırma faaliyetleri yürütülecektir.</w:t>
      </w:r>
    </w:p>
    <w:p w:rsidR="00AF4820" w:rsidRPr="00276B6A" w:rsidRDefault="00AF4820"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TCDD</w:t>
      </w:r>
      <w:r w:rsidRPr="00276B6A">
        <w:rPr>
          <w:rFonts w:ascii="Arial" w:hAnsi="Arial" w:cs="Arial"/>
          <w:sz w:val="24"/>
          <w:szCs w:val="24"/>
        </w:rPr>
        <w:t xml:space="preserve"> Genel Müdürlüğünün yeniden yapılandırılması tamamlanacak, demiryolu yük ve yolcu taşımacılığı özel demiryolu işletmelerine açılacaktır. TCDD’nin kamu üzerindeki mali yükü sürdürülebilir bir seviyeye çekilecektir. </w:t>
      </w:r>
    </w:p>
    <w:p w:rsidR="00AF4820" w:rsidRDefault="00AF4820"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TÜLOMSAŞ, TÜDEMSAŞ ve TÜVASAŞ</w:t>
      </w:r>
      <w:r w:rsidRPr="00276B6A">
        <w:rPr>
          <w:rFonts w:ascii="Arial" w:hAnsi="Arial" w:cs="Arial"/>
          <w:sz w:val="24"/>
          <w:szCs w:val="24"/>
        </w:rPr>
        <w:t xml:space="preserve"> demiryolu sektöründe yapılan yasal düzenlemeler sonucu oluşan piyasa beklentilerini de karşılayacak şekilde yeniden yapılandırılacaktır.</w:t>
      </w:r>
    </w:p>
    <w:p w:rsidR="00AF4820" w:rsidRPr="00894D90" w:rsidRDefault="00AF4820"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PTT’nin anonim şirket statüsünde yeniden yapılandırılması tamamlanacaktır.</w:t>
      </w:r>
    </w:p>
    <w:p w:rsidR="00AF4820" w:rsidRPr="00276B6A" w:rsidRDefault="00AF4820"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 xml:space="preserve">Özelleştirme uygulamaları, </w:t>
      </w:r>
      <w:r>
        <w:rPr>
          <w:rFonts w:ascii="Arial" w:hAnsi="Arial" w:cs="Arial"/>
          <w:sz w:val="24"/>
          <w:szCs w:val="24"/>
        </w:rPr>
        <w:t xml:space="preserve">makroekonomik politikalar ve </w:t>
      </w:r>
      <w:r w:rsidRPr="00276B6A">
        <w:rPr>
          <w:rFonts w:ascii="Arial" w:hAnsi="Arial" w:cs="Arial"/>
          <w:sz w:val="24"/>
          <w:szCs w:val="24"/>
        </w:rPr>
        <w:t>uzun vadeli sektörel öncelikler çerçevesinde belirlenmiş bir programa dayalı olarak sürdürülecektir. Özelleştirme uygulamalarında halka arz yönteminin kullanılmasına ağırlık verilecektir.</w:t>
      </w:r>
    </w:p>
    <w:p w:rsidR="00201A47" w:rsidRPr="001A4139" w:rsidRDefault="00201A47" w:rsidP="00D71AD9">
      <w:pPr>
        <w:spacing w:after="120" w:line="240" w:lineRule="auto"/>
        <w:ind w:firstLine="708"/>
        <w:jc w:val="both"/>
        <w:rPr>
          <w:rFonts w:ascii="Arial" w:hAnsi="Arial" w:cs="Arial"/>
          <w:b/>
          <w:sz w:val="24"/>
          <w:szCs w:val="24"/>
        </w:rPr>
      </w:pPr>
      <w:r w:rsidRPr="001A4139">
        <w:rPr>
          <w:rFonts w:ascii="Arial" w:hAnsi="Arial" w:cs="Arial"/>
          <w:b/>
          <w:sz w:val="24"/>
          <w:szCs w:val="24"/>
        </w:rPr>
        <w:t>3. Ödemeler Dengesi</w:t>
      </w:r>
    </w:p>
    <w:p w:rsidR="000910A1" w:rsidRDefault="000910A1"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 xml:space="preserve">İstikrarlı büyümeyi sağlamak amacıyla cari açığın sürdürülebilir bir seviyeye indirilmesi ve finansmanının mümkün olduğunca doğrudan yatırımlar ve uzun vadeli kaynaklarla karşılanması esastır. </w:t>
      </w:r>
    </w:p>
    <w:p w:rsidR="000910A1" w:rsidRPr="001A4139" w:rsidRDefault="00B57527"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A37F18">
        <w:rPr>
          <w:rFonts w:ascii="Arial" w:hAnsi="Arial" w:cs="Arial"/>
          <w:sz w:val="24"/>
          <w:szCs w:val="24"/>
        </w:rPr>
        <w:t>Üretim yapısında gittikçe artan bir şekilde ithal girdilere olan bağımlılık, son dönemde T</w:t>
      </w:r>
      <w:r w:rsidR="00A37F18" w:rsidRPr="00A37F18">
        <w:rPr>
          <w:rFonts w:ascii="Arial" w:hAnsi="Arial" w:cs="Arial"/>
          <w:sz w:val="24"/>
          <w:szCs w:val="24"/>
        </w:rPr>
        <w:t xml:space="preserve">ürk </w:t>
      </w:r>
      <w:r w:rsidRPr="00A37F18">
        <w:rPr>
          <w:rFonts w:ascii="Arial" w:hAnsi="Arial" w:cs="Arial"/>
          <w:sz w:val="24"/>
          <w:szCs w:val="24"/>
        </w:rPr>
        <w:t>L</w:t>
      </w:r>
      <w:r w:rsidR="00A37F18" w:rsidRPr="00A37F18">
        <w:rPr>
          <w:rFonts w:ascii="Arial" w:hAnsi="Arial" w:cs="Arial"/>
          <w:sz w:val="24"/>
          <w:szCs w:val="24"/>
        </w:rPr>
        <w:t>irasında</w:t>
      </w:r>
      <w:r w:rsidRPr="00A37F18">
        <w:rPr>
          <w:rFonts w:ascii="Arial" w:hAnsi="Arial" w:cs="Arial"/>
          <w:sz w:val="24"/>
          <w:szCs w:val="24"/>
        </w:rPr>
        <w:t xml:space="preserve"> </w:t>
      </w:r>
      <w:r w:rsidR="0021792B">
        <w:rPr>
          <w:rFonts w:ascii="Arial" w:hAnsi="Arial" w:cs="Arial"/>
          <w:sz w:val="24"/>
          <w:szCs w:val="24"/>
        </w:rPr>
        <w:t xml:space="preserve">aşırı değerlenmenin önlenmesine rağmen </w:t>
      </w:r>
      <w:r w:rsidRPr="00A37F18">
        <w:rPr>
          <w:rFonts w:ascii="Arial" w:hAnsi="Arial" w:cs="Arial"/>
          <w:sz w:val="24"/>
          <w:szCs w:val="24"/>
        </w:rPr>
        <w:t>cari açığın istenilen seviyelere düşmesini engellemektedir.</w:t>
      </w:r>
      <w:r w:rsidR="00A37F18" w:rsidRPr="00A37F18">
        <w:rPr>
          <w:rFonts w:ascii="Arial" w:hAnsi="Arial" w:cs="Arial"/>
          <w:sz w:val="24"/>
          <w:szCs w:val="24"/>
        </w:rPr>
        <w:t xml:space="preserve"> </w:t>
      </w:r>
      <w:r w:rsidR="00150C5F" w:rsidRPr="00A37F18">
        <w:rPr>
          <w:rFonts w:ascii="Arial" w:hAnsi="Arial" w:cs="Arial"/>
          <w:sz w:val="24"/>
          <w:szCs w:val="24"/>
        </w:rPr>
        <w:t xml:space="preserve">Önümüzdeki dönemde dış kaynak imkânlarının nispeten sınırlı </w:t>
      </w:r>
      <w:r w:rsidR="002A6753" w:rsidRPr="00A37F18">
        <w:rPr>
          <w:rFonts w:ascii="Arial" w:hAnsi="Arial" w:cs="Arial"/>
          <w:sz w:val="24"/>
          <w:szCs w:val="24"/>
        </w:rPr>
        <w:t>olacağı öngörüsü çerçevesinde</w:t>
      </w:r>
      <w:r w:rsidR="00150C5F" w:rsidRPr="00A37F18">
        <w:rPr>
          <w:rFonts w:ascii="Arial" w:hAnsi="Arial" w:cs="Arial"/>
          <w:sz w:val="24"/>
          <w:szCs w:val="24"/>
        </w:rPr>
        <w:t xml:space="preserve"> yurt</w:t>
      </w:r>
      <w:r w:rsidR="00994C34">
        <w:rPr>
          <w:rFonts w:ascii="Arial" w:hAnsi="Arial" w:cs="Arial"/>
          <w:sz w:val="24"/>
          <w:szCs w:val="24"/>
        </w:rPr>
        <w:t xml:space="preserve"> </w:t>
      </w:r>
      <w:r w:rsidR="00150C5F" w:rsidRPr="00A37F18">
        <w:rPr>
          <w:rFonts w:ascii="Arial" w:hAnsi="Arial" w:cs="Arial"/>
          <w:sz w:val="24"/>
          <w:szCs w:val="24"/>
        </w:rPr>
        <w:t xml:space="preserve">içi tasarrufların </w:t>
      </w:r>
      <w:r w:rsidR="002A6753" w:rsidRPr="00A37F18">
        <w:rPr>
          <w:rFonts w:ascii="Arial" w:hAnsi="Arial" w:cs="Arial"/>
          <w:sz w:val="24"/>
          <w:szCs w:val="24"/>
        </w:rPr>
        <w:t>önemi art</w:t>
      </w:r>
      <w:r w:rsidR="00150C5F" w:rsidRPr="00A37F18">
        <w:rPr>
          <w:rFonts w:ascii="Arial" w:hAnsi="Arial" w:cs="Arial"/>
          <w:sz w:val="24"/>
          <w:szCs w:val="24"/>
        </w:rPr>
        <w:t xml:space="preserve">maktadır. Diğer </w:t>
      </w:r>
      <w:r w:rsidR="002A6753" w:rsidRPr="00A37F18">
        <w:rPr>
          <w:rFonts w:ascii="Arial" w:hAnsi="Arial" w:cs="Arial"/>
          <w:sz w:val="24"/>
          <w:szCs w:val="24"/>
        </w:rPr>
        <w:t>taraftan sanayiimizde verimliliğin artırılması ve</w:t>
      </w:r>
      <w:r w:rsidR="00150C5F" w:rsidRPr="00A37F18">
        <w:rPr>
          <w:rFonts w:ascii="Arial" w:hAnsi="Arial" w:cs="Arial"/>
          <w:sz w:val="24"/>
          <w:szCs w:val="24"/>
        </w:rPr>
        <w:t xml:space="preserve"> yüksek katma değerli üretime geçilmesi için</w:t>
      </w:r>
      <w:r w:rsidR="002A6753" w:rsidRPr="00A37F18">
        <w:rPr>
          <w:rFonts w:ascii="Arial" w:hAnsi="Arial" w:cs="Arial"/>
          <w:sz w:val="24"/>
          <w:szCs w:val="24"/>
        </w:rPr>
        <w:t xml:space="preserve"> </w:t>
      </w:r>
      <w:r w:rsidR="00150C5F" w:rsidRPr="00A37F18">
        <w:rPr>
          <w:rFonts w:ascii="Arial" w:hAnsi="Arial" w:cs="Arial"/>
          <w:sz w:val="24"/>
          <w:szCs w:val="24"/>
        </w:rPr>
        <w:t xml:space="preserve">mikro reformların hızlandırılması önem arz etmektedir. </w:t>
      </w:r>
    </w:p>
    <w:p w:rsidR="00BE7F9F" w:rsidRPr="00B53A65" w:rsidRDefault="00BE7F9F"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496692">
        <w:rPr>
          <w:rFonts w:ascii="Arial" w:hAnsi="Arial" w:cs="Arial"/>
          <w:sz w:val="24"/>
          <w:szCs w:val="24"/>
        </w:rPr>
        <w:t xml:space="preserve">Türkiye’nin geleneksel pazarlarına ihracatını artırırken, ihracatta pazar çeşitlendirmesi sağlanarak mal ve hizmet ihracatının arttırılmasını </w:t>
      </w:r>
      <w:proofErr w:type="spellStart"/>
      <w:r w:rsidRPr="00496692">
        <w:rPr>
          <w:rFonts w:ascii="Arial" w:hAnsi="Arial" w:cs="Arial"/>
          <w:sz w:val="24"/>
          <w:szCs w:val="24"/>
        </w:rPr>
        <w:t>teminen</w:t>
      </w:r>
      <w:proofErr w:type="spellEnd"/>
      <w:r w:rsidRPr="00496692">
        <w:rPr>
          <w:rFonts w:ascii="Arial" w:hAnsi="Arial" w:cs="Arial"/>
          <w:sz w:val="24"/>
          <w:szCs w:val="24"/>
        </w:rPr>
        <w:t xml:space="preserve"> ihracatta hedef ve öncelikli ülkeler belirlenecektir.</w:t>
      </w:r>
    </w:p>
    <w:p w:rsidR="0048060B" w:rsidRPr="00B53A65" w:rsidRDefault="0048060B"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48060B">
        <w:rPr>
          <w:rFonts w:ascii="Arial" w:hAnsi="Arial" w:cs="Arial"/>
          <w:sz w:val="24"/>
          <w:szCs w:val="24"/>
        </w:rPr>
        <w:t>Hedef ve öncelikli ülkeler başta olmak üzere ihraç pazarlarımızda pazara giriş imkânlarının iyileştirilmesine yönelik çalışmalar yapılacaktır.</w:t>
      </w:r>
    </w:p>
    <w:p w:rsidR="00BE7F9F" w:rsidRPr="001A4139" w:rsidRDefault="00BE7F9F"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4A1D44">
        <w:rPr>
          <w:rFonts w:ascii="Arial" w:hAnsi="Arial" w:cs="Arial"/>
          <w:sz w:val="24"/>
          <w:szCs w:val="24"/>
        </w:rPr>
        <w:t>Gümrük Birliği daha etkin hale getirilerek AB ülkelerindeki pa</w:t>
      </w:r>
      <w:r w:rsidR="004A1D44" w:rsidRPr="004A1D44">
        <w:rPr>
          <w:rFonts w:ascii="Arial" w:hAnsi="Arial" w:cs="Arial"/>
          <w:sz w:val="24"/>
          <w:szCs w:val="24"/>
        </w:rPr>
        <w:t xml:space="preserve">zar payımızın </w:t>
      </w:r>
      <w:r w:rsidR="002D12A7" w:rsidRPr="004A1D44">
        <w:rPr>
          <w:rFonts w:ascii="Arial" w:hAnsi="Arial" w:cs="Arial"/>
          <w:sz w:val="24"/>
          <w:szCs w:val="24"/>
        </w:rPr>
        <w:t>ar</w:t>
      </w:r>
      <w:r w:rsidRPr="004A1D44">
        <w:rPr>
          <w:rFonts w:ascii="Arial" w:hAnsi="Arial" w:cs="Arial"/>
          <w:sz w:val="24"/>
          <w:szCs w:val="24"/>
        </w:rPr>
        <w:t>tırılmasına, AB ile ticaret ve yatırım ilişkilerimizin güçlendirilmesine önem verilecektir.</w:t>
      </w:r>
      <w:r w:rsidR="00B53A65" w:rsidRPr="001A4139">
        <w:rPr>
          <w:rFonts w:ascii="Arial" w:hAnsi="Arial" w:cs="Arial"/>
          <w:sz w:val="24"/>
          <w:szCs w:val="24"/>
        </w:rPr>
        <w:t xml:space="preserve"> </w:t>
      </w:r>
      <w:r w:rsidR="00A97A14" w:rsidRPr="001A4139">
        <w:rPr>
          <w:rFonts w:ascii="Arial" w:hAnsi="Arial" w:cs="Arial"/>
          <w:sz w:val="24"/>
          <w:szCs w:val="24"/>
        </w:rPr>
        <w:t xml:space="preserve"> </w:t>
      </w:r>
      <w:r w:rsidRPr="001A4139">
        <w:rPr>
          <w:rFonts w:ascii="Arial" w:hAnsi="Arial" w:cs="Arial"/>
          <w:sz w:val="24"/>
          <w:szCs w:val="24"/>
        </w:rPr>
        <w:t xml:space="preserve">  </w:t>
      </w:r>
    </w:p>
    <w:p w:rsidR="000A3FFF" w:rsidRPr="00B42D07" w:rsidRDefault="00B42D07"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0675F9">
        <w:rPr>
          <w:rFonts w:ascii="Arial" w:hAnsi="Arial" w:cs="Arial"/>
          <w:sz w:val="24"/>
          <w:szCs w:val="24"/>
        </w:rPr>
        <w:t xml:space="preserve">Girdi Tedarik Stratejisi (GİTES) kapsamında; ihracata dönük üretimde daha etkin ve düşük maliyetli girdi tedarikine, üretim ve ihracatın ara malı ithalatına bağımlılığının azaltılmasına ve bu suretle ihracatta sürdürülebilir rekabet gücüne katkı sağlanmasına yönelik </w:t>
      </w:r>
      <w:r>
        <w:rPr>
          <w:rFonts w:ascii="Arial" w:hAnsi="Arial" w:cs="Arial"/>
          <w:sz w:val="24"/>
          <w:szCs w:val="24"/>
        </w:rPr>
        <w:t>eyleml</w:t>
      </w:r>
      <w:r w:rsidR="000C153E">
        <w:rPr>
          <w:rFonts w:ascii="Arial" w:hAnsi="Arial" w:cs="Arial"/>
          <w:sz w:val="24"/>
          <w:szCs w:val="24"/>
        </w:rPr>
        <w:t>er</w:t>
      </w:r>
      <w:r>
        <w:rPr>
          <w:rFonts w:ascii="Arial" w:hAnsi="Arial" w:cs="Arial"/>
          <w:sz w:val="24"/>
          <w:szCs w:val="24"/>
        </w:rPr>
        <w:t xml:space="preserve"> hayata geçirilecektir.</w:t>
      </w:r>
    </w:p>
    <w:p w:rsidR="0082073F" w:rsidRPr="000040A0" w:rsidRDefault="0082073F"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0040A0">
        <w:rPr>
          <w:rFonts w:ascii="Arial" w:hAnsi="Arial" w:cs="Arial"/>
          <w:sz w:val="24"/>
          <w:szCs w:val="24"/>
        </w:rPr>
        <w:t>İhracata yönelik üretimin yanı sıra stratejik sektörlerde yerinde üretimle rekabet şartlarına uyum gösterilmesi ve ülkemizde üretimi mümkün olmayan stratejik hammadde ve girdilerin yurt</w:t>
      </w:r>
      <w:r w:rsidR="00994C34">
        <w:rPr>
          <w:rFonts w:ascii="Arial" w:hAnsi="Arial" w:cs="Arial"/>
          <w:sz w:val="24"/>
          <w:szCs w:val="24"/>
        </w:rPr>
        <w:t xml:space="preserve"> </w:t>
      </w:r>
      <w:r w:rsidRPr="000040A0">
        <w:rPr>
          <w:rFonts w:ascii="Arial" w:hAnsi="Arial" w:cs="Arial"/>
          <w:sz w:val="24"/>
          <w:szCs w:val="24"/>
        </w:rPr>
        <w:t>dışında yatırım yapıl</w:t>
      </w:r>
      <w:r w:rsidR="00DB6672" w:rsidRPr="000040A0">
        <w:rPr>
          <w:rFonts w:ascii="Arial" w:hAnsi="Arial" w:cs="Arial"/>
          <w:sz w:val="24"/>
          <w:szCs w:val="24"/>
        </w:rPr>
        <w:t>ması suretiyle uygun maliyetler</w:t>
      </w:r>
      <w:r w:rsidRPr="000040A0">
        <w:rPr>
          <w:rFonts w:ascii="Arial" w:hAnsi="Arial" w:cs="Arial"/>
          <w:sz w:val="24"/>
          <w:szCs w:val="24"/>
        </w:rPr>
        <w:t>le tedarik edilmesi sağlanacaktır.</w:t>
      </w:r>
    </w:p>
    <w:p w:rsidR="000A3FFF" w:rsidRPr="00276B6A" w:rsidRDefault="000A3FFF"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Tüketime yönelik ihraç ürünlerinde özgün tasarım faaliyetleri özendirilecek, nitelikli tasarımcı yetiştirilmesi sağlanacak, patent tescili ve uluslararası marka oluşturulması desteklenecek, tanıtım ve pazarlama konusundaki destekler ihracatçıların ihtiyaçları doğrultusunda geliştirilecektir.</w:t>
      </w:r>
    </w:p>
    <w:p w:rsidR="00365E1D" w:rsidRPr="00083DA4" w:rsidRDefault="0082073F"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913AC1">
        <w:rPr>
          <w:rFonts w:ascii="Arial" w:hAnsi="Arial" w:cs="Arial"/>
          <w:sz w:val="24"/>
          <w:szCs w:val="24"/>
        </w:rPr>
        <w:t>Dış talebe uygun nitelik ve nicelikteki ürünlerin ihracatı amacıyla üretim aşamasını dikkate alan</w:t>
      </w:r>
      <w:r w:rsidR="000A3FFF" w:rsidRPr="00913AC1">
        <w:rPr>
          <w:rFonts w:ascii="Arial" w:hAnsi="Arial" w:cs="Arial"/>
          <w:sz w:val="24"/>
          <w:szCs w:val="24"/>
        </w:rPr>
        <w:t xml:space="preserve"> </w:t>
      </w:r>
      <w:r w:rsidRPr="00913AC1">
        <w:rPr>
          <w:rFonts w:ascii="Arial" w:hAnsi="Arial" w:cs="Arial"/>
          <w:sz w:val="24"/>
          <w:szCs w:val="24"/>
        </w:rPr>
        <w:t>d</w:t>
      </w:r>
      <w:r w:rsidR="00913AC1">
        <w:rPr>
          <w:rFonts w:ascii="Arial" w:hAnsi="Arial" w:cs="Arial"/>
          <w:sz w:val="24"/>
          <w:szCs w:val="24"/>
        </w:rPr>
        <w:t>estek programları uygulanacaktır</w:t>
      </w:r>
      <w:r w:rsidRPr="00913AC1">
        <w:rPr>
          <w:rFonts w:ascii="Arial" w:hAnsi="Arial" w:cs="Arial"/>
          <w:sz w:val="24"/>
          <w:szCs w:val="24"/>
        </w:rPr>
        <w:t>.</w:t>
      </w:r>
      <w:r w:rsidR="00365E1D" w:rsidRPr="00083DA4">
        <w:rPr>
          <w:rFonts w:ascii="Arial" w:hAnsi="Arial" w:cs="Arial"/>
          <w:sz w:val="24"/>
          <w:szCs w:val="24"/>
        </w:rPr>
        <w:t xml:space="preserve"> </w:t>
      </w:r>
    </w:p>
    <w:p w:rsidR="00365E1D" w:rsidRDefault="00913AC1"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İ</w:t>
      </w:r>
      <w:r w:rsidR="00365E1D" w:rsidRPr="00E563B0">
        <w:rPr>
          <w:rFonts w:ascii="Arial" w:hAnsi="Arial" w:cs="Arial"/>
          <w:sz w:val="24"/>
          <w:szCs w:val="24"/>
        </w:rPr>
        <w:t xml:space="preserve">hracat desteklerinde etkililik esas alınarak, gelişme potansiyeli olan sektörler öncelikli biçimde desteklenecektir. </w:t>
      </w:r>
    </w:p>
    <w:p w:rsidR="00BE7F9F" w:rsidRPr="00083DA4" w:rsidRDefault="00BE7F9F"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5462FC">
        <w:rPr>
          <w:rFonts w:ascii="Arial" w:hAnsi="Arial" w:cs="Arial"/>
          <w:sz w:val="24"/>
          <w:szCs w:val="24"/>
        </w:rPr>
        <w:t xml:space="preserve">Serbest </w:t>
      </w:r>
      <w:r w:rsidR="0077386C">
        <w:rPr>
          <w:rFonts w:ascii="Arial" w:hAnsi="Arial" w:cs="Arial"/>
          <w:sz w:val="24"/>
          <w:szCs w:val="24"/>
        </w:rPr>
        <w:t>ticaret a</w:t>
      </w:r>
      <w:r w:rsidRPr="005462FC">
        <w:rPr>
          <w:rFonts w:ascii="Arial" w:hAnsi="Arial" w:cs="Arial"/>
          <w:sz w:val="24"/>
          <w:szCs w:val="24"/>
        </w:rPr>
        <w:t xml:space="preserve">nlaşmalarına ağırlık verilecektir. </w:t>
      </w:r>
      <w:r w:rsidR="0077386C">
        <w:rPr>
          <w:rFonts w:ascii="Arial" w:hAnsi="Arial" w:cs="Arial"/>
          <w:sz w:val="24"/>
          <w:szCs w:val="24"/>
        </w:rPr>
        <w:t>Bu anlaşmaların</w:t>
      </w:r>
      <w:r w:rsidR="005462FC" w:rsidRPr="005462FC">
        <w:rPr>
          <w:rFonts w:ascii="Arial" w:hAnsi="Arial" w:cs="Arial"/>
          <w:sz w:val="24"/>
          <w:szCs w:val="24"/>
        </w:rPr>
        <w:t xml:space="preserve"> </w:t>
      </w:r>
      <w:r w:rsidRPr="005462FC">
        <w:rPr>
          <w:rFonts w:ascii="Arial" w:hAnsi="Arial" w:cs="Arial"/>
          <w:sz w:val="24"/>
          <w:szCs w:val="24"/>
        </w:rPr>
        <w:t xml:space="preserve">hizmetler ve yatırımları da </w:t>
      </w:r>
      <w:r w:rsidR="00C8594B">
        <w:rPr>
          <w:rFonts w:ascii="Arial" w:hAnsi="Arial" w:cs="Arial"/>
          <w:sz w:val="24"/>
          <w:szCs w:val="24"/>
        </w:rPr>
        <w:t>içermesi</w:t>
      </w:r>
      <w:r w:rsidRPr="005462FC">
        <w:rPr>
          <w:rFonts w:ascii="Arial" w:hAnsi="Arial" w:cs="Arial"/>
          <w:sz w:val="24"/>
          <w:szCs w:val="24"/>
        </w:rPr>
        <w:t xml:space="preserve"> öngörülmektedir</w:t>
      </w:r>
      <w:r w:rsidR="00C8594B" w:rsidRPr="00083DA4">
        <w:rPr>
          <w:rFonts w:ascii="Arial" w:hAnsi="Arial" w:cs="Arial"/>
          <w:sz w:val="24"/>
          <w:szCs w:val="24"/>
        </w:rPr>
        <w:t xml:space="preserve">. </w:t>
      </w:r>
    </w:p>
    <w:p w:rsidR="00201A47" w:rsidRPr="00083DA4" w:rsidRDefault="00201A47"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A06906">
        <w:rPr>
          <w:rFonts w:ascii="Arial" w:hAnsi="Arial" w:cs="Arial"/>
          <w:sz w:val="24"/>
          <w:szCs w:val="24"/>
        </w:rPr>
        <w:t>Dâhilde işleme rejimi</w:t>
      </w:r>
      <w:r w:rsidR="00A06906">
        <w:rPr>
          <w:rFonts w:ascii="Arial" w:hAnsi="Arial" w:cs="Arial"/>
          <w:sz w:val="24"/>
          <w:szCs w:val="24"/>
        </w:rPr>
        <w:t xml:space="preserve"> </w:t>
      </w:r>
      <w:r w:rsidR="00A06906" w:rsidRPr="00083DA4">
        <w:rPr>
          <w:rFonts w:ascii="Arial" w:hAnsi="Arial" w:cs="Arial"/>
          <w:sz w:val="24"/>
          <w:szCs w:val="24"/>
        </w:rPr>
        <w:t>uygulamaları</w:t>
      </w:r>
      <w:r w:rsidRPr="00A06906">
        <w:rPr>
          <w:rFonts w:ascii="Arial" w:hAnsi="Arial" w:cs="Arial"/>
          <w:sz w:val="24"/>
          <w:szCs w:val="24"/>
        </w:rPr>
        <w:t xml:space="preserve"> yurt</w:t>
      </w:r>
      <w:r w:rsidR="00994C34">
        <w:rPr>
          <w:rFonts w:ascii="Arial" w:hAnsi="Arial" w:cs="Arial"/>
          <w:sz w:val="24"/>
          <w:szCs w:val="24"/>
        </w:rPr>
        <w:t xml:space="preserve"> </w:t>
      </w:r>
      <w:r w:rsidRPr="00A06906">
        <w:rPr>
          <w:rFonts w:ascii="Arial" w:hAnsi="Arial" w:cs="Arial"/>
          <w:sz w:val="24"/>
          <w:szCs w:val="24"/>
        </w:rPr>
        <w:t xml:space="preserve">içi üretim koşulları ve dış ticaret dengesi açısından </w:t>
      </w:r>
      <w:r w:rsidR="00083DA4">
        <w:rPr>
          <w:rFonts w:ascii="Arial" w:hAnsi="Arial" w:cs="Arial"/>
          <w:sz w:val="24"/>
          <w:szCs w:val="24"/>
        </w:rPr>
        <w:t>yeniden değerlendirilecektir</w:t>
      </w:r>
      <w:r w:rsidR="00A06906">
        <w:rPr>
          <w:rFonts w:ascii="Arial" w:hAnsi="Arial" w:cs="Arial"/>
          <w:sz w:val="24"/>
          <w:szCs w:val="24"/>
        </w:rPr>
        <w:t xml:space="preserve">. </w:t>
      </w:r>
    </w:p>
    <w:p w:rsidR="00201A47" w:rsidRPr="00276B6A" w:rsidRDefault="00201A47" w:rsidP="00D71AD9">
      <w:pPr>
        <w:pStyle w:val="ListeParagraf"/>
        <w:numPr>
          <w:ilvl w:val="0"/>
          <w:numId w:val="10"/>
        </w:numPr>
        <w:spacing w:after="120" w:line="240" w:lineRule="auto"/>
        <w:ind w:left="0" w:firstLine="0"/>
        <w:contextualSpacing w:val="0"/>
        <w:jc w:val="both"/>
        <w:rPr>
          <w:rFonts w:ascii="Arial" w:hAnsi="Arial" w:cs="Arial"/>
          <w:sz w:val="24"/>
          <w:szCs w:val="24"/>
        </w:rPr>
      </w:pPr>
      <w:proofErr w:type="gramStart"/>
      <w:r w:rsidRPr="00877ECB">
        <w:rPr>
          <w:rFonts w:ascii="Arial" w:hAnsi="Arial" w:cs="Arial"/>
          <w:sz w:val="24"/>
          <w:szCs w:val="24"/>
        </w:rPr>
        <w:t>e</w:t>
      </w:r>
      <w:proofErr w:type="gramEnd"/>
      <w:r w:rsidRPr="00276B6A">
        <w:rPr>
          <w:rFonts w:ascii="Arial" w:hAnsi="Arial" w:cs="Arial"/>
          <w:sz w:val="24"/>
          <w:szCs w:val="24"/>
        </w:rPr>
        <w:t>-</w:t>
      </w:r>
      <w:r w:rsidRPr="00877ECB">
        <w:rPr>
          <w:rFonts w:ascii="Arial" w:hAnsi="Arial" w:cs="Arial"/>
          <w:sz w:val="24"/>
          <w:szCs w:val="24"/>
        </w:rPr>
        <w:t>T</w:t>
      </w:r>
      <w:r w:rsidRPr="00276B6A">
        <w:rPr>
          <w:rFonts w:ascii="Arial" w:hAnsi="Arial" w:cs="Arial"/>
          <w:sz w:val="24"/>
          <w:szCs w:val="24"/>
        </w:rPr>
        <w:t>icaretin, ihracatın artışına katkı yapması ve tüketim ithalatını artırmaması için gerekli mekanizmalar geliştirilecektir.</w:t>
      </w:r>
    </w:p>
    <w:p w:rsidR="000A6C4A" w:rsidRPr="002E4048" w:rsidRDefault="005E2443"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Gümrük işlemlerinde ihr</w:t>
      </w:r>
      <w:r w:rsidR="001942C4">
        <w:rPr>
          <w:rFonts w:ascii="Arial" w:hAnsi="Arial" w:cs="Arial"/>
          <w:sz w:val="24"/>
          <w:szCs w:val="24"/>
        </w:rPr>
        <w:t>acatçıların maliyetini azaltıcı tedbirler alınacaktır</w:t>
      </w:r>
      <w:r w:rsidRPr="00276B6A">
        <w:rPr>
          <w:rFonts w:ascii="Arial" w:hAnsi="Arial" w:cs="Arial"/>
          <w:sz w:val="24"/>
          <w:szCs w:val="24"/>
        </w:rPr>
        <w:t>.</w:t>
      </w:r>
      <w:r w:rsidR="000A6C4A" w:rsidRPr="001A4139">
        <w:rPr>
          <w:rFonts w:ascii="Arial" w:hAnsi="Arial" w:cs="Arial"/>
          <w:sz w:val="24"/>
          <w:szCs w:val="24"/>
        </w:rPr>
        <w:t xml:space="preserve"> </w:t>
      </w:r>
    </w:p>
    <w:p w:rsidR="00256CAB" w:rsidRPr="00276B6A" w:rsidRDefault="00256CAB"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Ülkemizin ikili ve çok taraflı işbirlikleri kapsamında, ihracatın artırılmasına katkı sağlamak amacıyla küresel ölçekte ve bölgesinde etkinliği güçlendirilecek, ihtiyaç duyan ülkele</w:t>
      </w:r>
      <w:r w:rsidR="001942C4">
        <w:rPr>
          <w:rFonts w:ascii="Arial" w:hAnsi="Arial" w:cs="Arial"/>
          <w:sz w:val="24"/>
          <w:szCs w:val="24"/>
        </w:rPr>
        <w:t>re teknik destek sağlanacaktır.</w:t>
      </w:r>
    </w:p>
    <w:p w:rsidR="00EC6898" w:rsidRPr="00EC6898" w:rsidRDefault="00EC6898"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EC6898">
        <w:rPr>
          <w:rFonts w:ascii="Arial" w:hAnsi="Arial" w:cs="Arial"/>
          <w:sz w:val="24"/>
          <w:szCs w:val="24"/>
        </w:rPr>
        <w:t>Elektrik</w:t>
      </w:r>
      <w:r w:rsidR="002E4048" w:rsidRPr="00276B6A">
        <w:rPr>
          <w:rFonts w:ascii="Arial" w:hAnsi="Arial" w:cs="Arial"/>
          <w:sz w:val="24"/>
          <w:szCs w:val="24"/>
        </w:rPr>
        <w:t xml:space="preserve"> üretiminde yerli kömür ve yenilenebilir enerji kaynaklarının kullanılmasına ağırlık verilecek, nükleer güç santrali yatırımları aksatılmadan sürdürülecek, santral </w:t>
      </w:r>
      <w:proofErr w:type="gramStart"/>
      <w:r w:rsidR="002E4048" w:rsidRPr="00276B6A">
        <w:rPr>
          <w:rFonts w:ascii="Arial" w:hAnsi="Arial" w:cs="Arial"/>
          <w:sz w:val="24"/>
          <w:szCs w:val="24"/>
        </w:rPr>
        <w:t>rehabilitasyonları</w:t>
      </w:r>
      <w:proofErr w:type="gramEnd"/>
      <w:r w:rsidR="002E4048" w:rsidRPr="00276B6A">
        <w:rPr>
          <w:rFonts w:ascii="Arial" w:hAnsi="Arial" w:cs="Arial"/>
          <w:sz w:val="24"/>
          <w:szCs w:val="24"/>
        </w:rPr>
        <w:t xml:space="preserve"> gerçekleştirilerek yerli kaynaklara dayalı enerji üretimi artırılacak</w:t>
      </w:r>
      <w:r w:rsidR="00934952">
        <w:rPr>
          <w:rFonts w:ascii="Arial" w:hAnsi="Arial" w:cs="Arial"/>
          <w:sz w:val="24"/>
          <w:szCs w:val="24"/>
        </w:rPr>
        <w:t>tır.</w:t>
      </w:r>
    </w:p>
    <w:p w:rsidR="008F737C" w:rsidRPr="002D2275" w:rsidRDefault="008F737C"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D2275">
        <w:rPr>
          <w:rFonts w:ascii="Arial" w:hAnsi="Arial" w:cs="Arial"/>
          <w:sz w:val="24"/>
          <w:szCs w:val="24"/>
        </w:rPr>
        <w:t xml:space="preserve">İthalatta </w:t>
      </w:r>
      <w:r w:rsidR="00BE50A6" w:rsidRPr="002D2275">
        <w:rPr>
          <w:rFonts w:ascii="Arial" w:hAnsi="Arial" w:cs="Arial"/>
          <w:sz w:val="24"/>
          <w:szCs w:val="24"/>
        </w:rPr>
        <w:t xml:space="preserve">piyasa gözetimi ve </w:t>
      </w:r>
      <w:r w:rsidRPr="002D2275">
        <w:rPr>
          <w:rFonts w:ascii="Arial" w:hAnsi="Arial" w:cs="Arial"/>
          <w:sz w:val="24"/>
          <w:szCs w:val="24"/>
        </w:rPr>
        <w:t>denetim sisteminin etkinliği artırılarak ithal ürünlerin teknik düzenlemelere uygun ve güvenli olmaları sağlanacaktır.</w:t>
      </w:r>
    </w:p>
    <w:p w:rsidR="000E061E" w:rsidRPr="00276B6A" w:rsidRDefault="000E061E"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Yurt</w:t>
      </w:r>
      <w:r w:rsidR="00994C34">
        <w:rPr>
          <w:rFonts w:ascii="Arial" w:hAnsi="Arial" w:cs="Arial"/>
          <w:sz w:val="24"/>
          <w:szCs w:val="24"/>
        </w:rPr>
        <w:t xml:space="preserve"> </w:t>
      </w:r>
      <w:r w:rsidRPr="00276B6A">
        <w:rPr>
          <w:rFonts w:ascii="Arial" w:hAnsi="Arial" w:cs="Arial"/>
          <w:sz w:val="24"/>
          <w:szCs w:val="24"/>
        </w:rPr>
        <w:t>içi katma değer oranı yüksek malları kullanma bilincinin geliştirilmesine yönelik öz</w:t>
      </w:r>
      <w:r w:rsidR="002D2275">
        <w:rPr>
          <w:rFonts w:ascii="Arial" w:hAnsi="Arial" w:cs="Arial"/>
          <w:sz w:val="24"/>
          <w:szCs w:val="24"/>
        </w:rPr>
        <w:t>endirici tedbirler alınacaktır.</w:t>
      </w:r>
    </w:p>
    <w:p w:rsidR="00256CAB" w:rsidRPr="001A4139" w:rsidRDefault="0003294B"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077FFD">
        <w:rPr>
          <w:rFonts w:ascii="Arial" w:hAnsi="Arial" w:cs="Arial"/>
          <w:sz w:val="24"/>
          <w:szCs w:val="24"/>
        </w:rPr>
        <w:t>K</w:t>
      </w:r>
      <w:r w:rsidR="00316115" w:rsidRPr="00077FFD">
        <w:rPr>
          <w:rFonts w:ascii="Arial" w:hAnsi="Arial" w:cs="Arial"/>
          <w:sz w:val="24"/>
          <w:szCs w:val="24"/>
        </w:rPr>
        <w:t>amu alımlarında yurt</w:t>
      </w:r>
      <w:r w:rsidR="00994C34">
        <w:rPr>
          <w:rFonts w:ascii="Arial" w:hAnsi="Arial" w:cs="Arial"/>
          <w:sz w:val="24"/>
          <w:szCs w:val="24"/>
        </w:rPr>
        <w:t xml:space="preserve"> </w:t>
      </w:r>
      <w:r w:rsidR="00316115" w:rsidRPr="00077FFD">
        <w:rPr>
          <w:rFonts w:ascii="Arial" w:hAnsi="Arial" w:cs="Arial"/>
          <w:sz w:val="24"/>
          <w:szCs w:val="24"/>
        </w:rPr>
        <w:t xml:space="preserve">içinde üretilen ve yerli girdi kullanan ürünler tercih edilecektir. </w:t>
      </w:r>
    </w:p>
    <w:p w:rsidR="008B1AB3" w:rsidRPr="001A4139" w:rsidRDefault="008B1AB3"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1A4139">
        <w:rPr>
          <w:rFonts w:ascii="Arial" w:hAnsi="Arial" w:cs="Arial"/>
          <w:sz w:val="24"/>
          <w:szCs w:val="24"/>
        </w:rPr>
        <w:t xml:space="preserve">Önemli üretim ve tüketim bölgelerinde bölgesel ve küresel ihtiyaçlara cevap verebilecek, ülkemizin ana ihracat sektörlerinin rekabet gücünü destekleyecek lojistik merkezler oluşturulacaktır. </w:t>
      </w:r>
    </w:p>
    <w:p w:rsidR="008D1798" w:rsidRPr="001A4139" w:rsidRDefault="00F454F0"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1A4139">
        <w:rPr>
          <w:rFonts w:ascii="Arial" w:hAnsi="Arial" w:cs="Arial"/>
          <w:sz w:val="24"/>
          <w:szCs w:val="24"/>
        </w:rPr>
        <w:t>Dış ticareti kolaylaştırarak ülkemizin ihracat hedeflerine ulaşmasını sağlamak amacıyla b</w:t>
      </w:r>
      <w:r w:rsidR="008D1798" w:rsidRPr="001A4139">
        <w:rPr>
          <w:rFonts w:ascii="Arial" w:hAnsi="Arial" w:cs="Arial"/>
          <w:sz w:val="24"/>
          <w:szCs w:val="24"/>
        </w:rPr>
        <w:t>üyük ölçekli liman ka</w:t>
      </w:r>
      <w:r w:rsidRPr="001A4139">
        <w:rPr>
          <w:rFonts w:ascii="Arial" w:hAnsi="Arial" w:cs="Arial"/>
          <w:sz w:val="24"/>
          <w:szCs w:val="24"/>
        </w:rPr>
        <w:t>pasitesi oluşturulacak</w:t>
      </w:r>
      <w:r w:rsidR="008D1798" w:rsidRPr="001A4139">
        <w:rPr>
          <w:rFonts w:ascii="Arial" w:hAnsi="Arial" w:cs="Arial"/>
          <w:sz w:val="24"/>
          <w:szCs w:val="24"/>
        </w:rPr>
        <w:t>, limanların demir</w:t>
      </w:r>
      <w:r w:rsidRPr="001A4139">
        <w:rPr>
          <w:rFonts w:ascii="Arial" w:hAnsi="Arial" w:cs="Arial"/>
          <w:sz w:val="24"/>
          <w:szCs w:val="24"/>
        </w:rPr>
        <w:t>yolu ve karayolu bağlantıları</w:t>
      </w:r>
      <w:r w:rsidR="008D1798" w:rsidRPr="001A4139">
        <w:rPr>
          <w:rFonts w:ascii="Arial" w:hAnsi="Arial" w:cs="Arial"/>
          <w:sz w:val="24"/>
          <w:szCs w:val="24"/>
        </w:rPr>
        <w:t xml:space="preserve"> tamamlan</w:t>
      </w:r>
      <w:r w:rsidRPr="001A4139">
        <w:rPr>
          <w:rFonts w:ascii="Arial" w:hAnsi="Arial" w:cs="Arial"/>
          <w:sz w:val="24"/>
          <w:szCs w:val="24"/>
        </w:rPr>
        <w:t>acaktır.</w:t>
      </w:r>
    </w:p>
    <w:p w:rsidR="008F737C" w:rsidRPr="001A4139" w:rsidRDefault="008F737C"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1A4139">
        <w:rPr>
          <w:rFonts w:ascii="Arial" w:hAnsi="Arial" w:cs="Arial"/>
          <w:sz w:val="24"/>
          <w:szCs w:val="24"/>
        </w:rPr>
        <w:t>Ülkemiz yatırımcılarının yurt dışında haklarının teminat altına alınması ve korunması sağlanacaktır.</w:t>
      </w:r>
    </w:p>
    <w:p w:rsidR="00A66D22" w:rsidRPr="001A4139" w:rsidRDefault="004134A5" w:rsidP="00D71AD9">
      <w:pPr>
        <w:pStyle w:val="ListeParagraf"/>
        <w:numPr>
          <w:ilvl w:val="0"/>
          <w:numId w:val="10"/>
        </w:numPr>
        <w:spacing w:after="120" w:line="240" w:lineRule="auto"/>
        <w:ind w:left="0" w:firstLine="0"/>
        <w:contextualSpacing w:val="0"/>
        <w:jc w:val="both"/>
        <w:rPr>
          <w:rFonts w:ascii="Arial" w:hAnsi="Arial" w:cs="Arial"/>
          <w:sz w:val="24"/>
          <w:szCs w:val="24"/>
        </w:rPr>
      </w:pPr>
      <w:bookmarkStart w:id="0" w:name="OLE_LINK2"/>
      <w:bookmarkStart w:id="1" w:name="OLE_LINK1"/>
      <w:r w:rsidRPr="001A4139">
        <w:rPr>
          <w:rFonts w:ascii="Arial" w:hAnsi="Arial" w:cs="Arial"/>
          <w:sz w:val="24"/>
          <w:szCs w:val="24"/>
        </w:rPr>
        <w:t xml:space="preserve">Turizm sektöründe </w:t>
      </w:r>
      <w:r w:rsidR="00765E02" w:rsidRPr="001A4139">
        <w:rPr>
          <w:rFonts w:ascii="Arial" w:hAnsi="Arial" w:cs="Arial"/>
          <w:sz w:val="24"/>
          <w:szCs w:val="24"/>
        </w:rPr>
        <w:t>hizmet kalitesini artıran, pazarlama kanallarını çeşitlendirerek üst gelir gruplarını hedef alan, karşılaştırmalı rekabet üstünlüğüne uygun turizm çeşitlerini öne çıkaran bir yapı</w:t>
      </w:r>
      <w:r w:rsidR="001A4139">
        <w:rPr>
          <w:rFonts w:ascii="Arial" w:hAnsi="Arial" w:cs="Arial"/>
          <w:sz w:val="24"/>
          <w:szCs w:val="24"/>
        </w:rPr>
        <w:t xml:space="preserve"> oluşturulacaktır.</w:t>
      </w:r>
    </w:p>
    <w:p w:rsidR="00765E02" w:rsidRPr="001A4139" w:rsidRDefault="00765E02"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1A4139">
        <w:rPr>
          <w:rFonts w:ascii="Arial" w:hAnsi="Arial" w:cs="Arial"/>
          <w:sz w:val="24"/>
          <w:szCs w:val="24"/>
        </w:rPr>
        <w:t xml:space="preserve">Turizm yatırımlarının gelişmiş ve yoğun kullanıma konu olan yörelerden diğer alanlara kaydırılarak </w:t>
      </w:r>
      <w:r w:rsidRPr="00FD203F">
        <w:rPr>
          <w:rFonts w:ascii="Arial" w:hAnsi="Arial" w:cs="Arial"/>
          <w:sz w:val="24"/>
          <w:szCs w:val="24"/>
        </w:rPr>
        <w:t>çeşitlendirilmesi</w:t>
      </w:r>
      <w:r w:rsidR="00D1204C" w:rsidRPr="00FD203F">
        <w:rPr>
          <w:rFonts w:ascii="Arial" w:hAnsi="Arial" w:cs="Arial"/>
          <w:sz w:val="24"/>
          <w:szCs w:val="24"/>
        </w:rPr>
        <w:t>ne</w:t>
      </w:r>
      <w:r w:rsidRPr="00FD203F">
        <w:rPr>
          <w:rFonts w:ascii="Arial" w:hAnsi="Arial" w:cs="Arial"/>
          <w:sz w:val="24"/>
          <w:szCs w:val="24"/>
        </w:rPr>
        <w:t xml:space="preserve"> ve turizm</w:t>
      </w:r>
      <w:r w:rsidRPr="001A4139">
        <w:rPr>
          <w:rFonts w:ascii="Arial" w:hAnsi="Arial" w:cs="Arial"/>
          <w:sz w:val="24"/>
          <w:szCs w:val="24"/>
        </w:rPr>
        <w:t xml:space="preserve"> faaliyetlerinin tüm yıla yayılmasına dö</w:t>
      </w:r>
      <w:r w:rsidR="004134A5" w:rsidRPr="001A4139">
        <w:rPr>
          <w:rFonts w:ascii="Arial" w:hAnsi="Arial" w:cs="Arial"/>
          <w:sz w:val="24"/>
          <w:szCs w:val="24"/>
        </w:rPr>
        <w:t>nük politikalar uygulanacaktır.</w:t>
      </w:r>
    </w:p>
    <w:p w:rsidR="002F421E" w:rsidRPr="001A4139" w:rsidRDefault="009B2663"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1A4139">
        <w:rPr>
          <w:rFonts w:ascii="Arial" w:hAnsi="Arial" w:cs="Arial"/>
          <w:sz w:val="24"/>
          <w:szCs w:val="24"/>
        </w:rPr>
        <w:t xml:space="preserve">Yurt dışı </w:t>
      </w:r>
      <w:proofErr w:type="gramStart"/>
      <w:r w:rsidRPr="001A4139">
        <w:rPr>
          <w:rFonts w:ascii="Arial" w:hAnsi="Arial" w:cs="Arial"/>
          <w:sz w:val="24"/>
          <w:szCs w:val="24"/>
        </w:rPr>
        <w:t>müteahhitlik</w:t>
      </w:r>
      <w:proofErr w:type="gramEnd"/>
      <w:r w:rsidRPr="001A4139">
        <w:rPr>
          <w:rFonts w:ascii="Arial" w:hAnsi="Arial" w:cs="Arial"/>
          <w:sz w:val="24"/>
          <w:szCs w:val="24"/>
        </w:rPr>
        <w:t xml:space="preserve"> hizmetlerinde kaliteyi artıran ve yapı malzemelerinin ihracat potansiyelini yükselten faaliyetler desteklenecek, yurt dışında yüksek nitelikli ve bilgi yoğun projelere ağırlık verilmesiyle yurt dışı müteahhitlik hizmet gelirler</w:t>
      </w:r>
      <w:r w:rsidR="00132D8F" w:rsidRPr="001A4139">
        <w:rPr>
          <w:rFonts w:ascii="Arial" w:hAnsi="Arial" w:cs="Arial"/>
          <w:sz w:val="24"/>
          <w:szCs w:val="24"/>
        </w:rPr>
        <w:t>inin artırılması sağlanacaktır.</w:t>
      </w:r>
      <w:r w:rsidR="002F421E" w:rsidRPr="001A4139">
        <w:rPr>
          <w:rFonts w:ascii="Arial" w:hAnsi="Arial" w:cs="Arial"/>
          <w:sz w:val="24"/>
          <w:szCs w:val="24"/>
        </w:rPr>
        <w:t xml:space="preserve"> </w:t>
      </w:r>
    </w:p>
    <w:p w:rsidR="009B2663" w:rsidRPr="001A4139" w:rsidRDefault="002F421E"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1A4139">
        <w:rPr>
          <w:rFonts w:ascii="Arial" w:hAnsi="Arial" w:cs="Arial"/>
          <w:sz w:val="24"/>
          <w:szCs w:val="24"/>
        </w:rPr>
        <w:t>İnşaat sektöründe, teknik müşavirlik hizmetlerinin yurt dışındaki faaliyetleri etkinleştirilecektir.</w:t>
      </w:r>
    </w:p>
    <w:p w:rsidR="009B2663" w:rsidRPr="001A4139" w:rsidRDefault="009B2663"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1A4139">
        <w:rPr>
          <w:rFonts w:ascii="Arial" w:hAnsi="Arial" w:cs="Arial"/>
          <w:sz w:val="24"/>
          <w:szCs w:val="24"/>
        </w:rPr>
        <w:t>Yurt</w:t>
      </w:r>
      <w:r w:rsidR="00994C34">
        <w:rPr>
          <w:rFonts w:ascii="Arial" w:hAnsi="Arial" w:cs="Arial"/>
          <w:sz w:val="24"/>
          <w:szCs w:val="24"/>
        </w:rPr>
        <w:t xml:space="preserve"> </w:t>
      </w:r>
      <w:r w:rsidRPr="001A4139">
        <w:rPr>
          <w:rFonts w:ascii="Arial" w:hAnsi="Arial" w:cs="Arial"/>
          <w:sz w:val="24"/>
          <w:szCs w:val="24"/>
        </w:rPr>
        <w:t>dışında mağazalaşma faaliyetleri ve bu mağazalarda kaliteli, yüksek katma değerl</w:t>
      </w:r>
      <w:r w:rsidR="008F4950" w:rsidRPr="001A4139">
        <w:rPr>
          <w:rFonts w:ascii="Arial" w:hAnsi="Arial" w:cs="Arial"/>
          <w:sz w:val="24"/>
          <w:szCs w:val="24"/>
        </w:rPr>
        <w:t>i ürün satışı desteklenecektir.</w:t>
      </w:r>
    </w:p>
    <w:bookmarkEnd w:id="0"/>
    <w:bookmarkEnd w:id="1"/>
    <w:p w:rsidR="00AD5C87" w:rsidRPr="001A4139" w:rsidRDefault="00AD5C87" w:rsidP="00D71AD9">
      <w:pPr>
        <w:spacing w:after="120" w:line="240" w:lineRule="auto"/>
        <w:ind w:firstLine="708"/>
        <w:jc w:val="both"/>
        <w:rPr>
          <w:rFonts w:ascii="Arial" w:hAnsi="Arial" w:cs="Arial"/>
          <w:b/>
          <w:sz w:val="24"/>
          <w:szCs w:val="24"/>
        </w:rPr>
      </w:pPr>
      <w:r w:rsidRPr="001A4139">
        <w:rPr>
          <w:rFonts w:ascii="Arial" w:hAnsi="Arial" w:cs="Arial"/>
          <w:b/>
          <w:sz w:val="24"/>
          <w:szCs w:val="24"/>
        </w:rPr>
        <w:t>4. Para Politikası</w:t>
      </w:r>
    </w:p>
    <w:p w:rsidR="00AD5C87" w:rsidRPr="001A4139" w:rsidRDefault="00AD5C87"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 xml:space="preserve">Para politikasının temel amacı fiyat istikrarını sağlamak ve </w:t>
      </w:r>
      <w:r w:rsidR="002807AB">
        <w:rPr>
          <w:rFonts w:ascii="Arial" w:hAnsi="Arial" w:cs="Arial"/>
          <w:sz w:val="24"/>
          <w:szCs w:val="24"/>
        </w:rPr>
        <w:t>sürdürmektir.</w:t>
      </w:r>
      <w:r w:rsidRPr="00276B6A">
        <w:rPr>
          <w:rFonts w:ascii="Arial" w:hAnsi="Arial" w:cs="Arial"/>
          <w:sz w:val="24"/>
          <w:szCs w:val="24"/>
        </w:rPr>
        <w:t xml:space="preserve">  </w:t>
      </w:r>
    </w:p>
    <w:p w:rsidR="00AD5C87" w:rsidRPr="00276B6A" w:rsidRDefault="00AD5C87"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Para politikası, enflasyon hedeflemesi çerçevesinde yürütülecektir.</w:t>
      </w:r>
      <w:r w:rsidR="00EE6C27" w:rsidRPr="00EE6C27">
        <w:rPr>
          <w:rFonts w:ascii="Arial" w:hAnsi="Arial" w:cs="Arial"/>
          <w:sz w:val="24"/>
          <w:szCs w:val="24"/>
        </w:rPr>
        <w:t xml:space="preserve"> </w:t>
      </w:r>
      <w:r w:rsidR="00EE6C27">
        <w:rPr>
          <w:rFonts w:ascii="Arial" w:hAnsi="Arial" w:cs="Arial"/>
          <w:sz w:val="24"/>
          <w:szCs w:val="24"/>
        </w:rPr>
        <w:t>E</w:t>
      </w:r>
      <w:r w:rsidR="00EE6C27" w:rsidRPr="00276B6A">
        <w:rPr>
          <w:rFonts w:ascii="Arial" w:hAnsi="Arial" w:cs="Arial"/>
          <w:sz w:val="24"/>
          <w:szCs w:val="24"/>
        </w:rPr>
        <w:t>nflasyon hedeflemesi rejiminde finansal istikrar da gözetilmeye devam edilecektir.</w:t>
      </w:r>
    </w:p>
    <w:p w:rsidR="00AD5C87" w:rsidRPr="00276B6A" w:rsidRDefault="00AD5C87"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Temel para politikası aracı olarak kısa vadeli faiz oranları</w:t>
      </w:r>
      <w:r w:rsidR="00EE6C27">
        <w:rPr>
          <w:rFonts w:ascii="Arial" w:hAnsi="Arial" w:cs="Arial"/>
          <w:sz w:val="24"/>
          <w:szCs w:val="24"/>
        </w:rPr>
        <w:t xml:space="preserve"> kullanılmasının yanı sıra </w:t>
      </w:r>
      <w:r w:rsidRPr="00276B6A">
        <w:rPr>
          <w:rFonts w:ascii="Arial" w:hAnsi="Arial" w:cs="Arial"/>
          <w:sz w:val="24"/>
          <w:szCs w:val="24"/>
        </w:rPr>
        <w:t>zorunlu karşılık oranları ve faiz koridoru gibi birbirini tamamlayıcı nitelikteki araçlar ile Türk Lirası ve döviz cinsi likidite uygulamaları birlikte kullanılmaya devam edilecektir.</w:t>
      </w:r>
    </w:p>
    <w:p w:rsidR="00AD5C87" w:rsidRPr="00276B6A" w:rsidRDefault="00AD5C87"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Enflasyon hedefleri, Hükümet ve Merkez Bankası tarafından ü</w:t>
      </w:r>
      <w:r w:rsidR="00EE6C27">
        <w:rPr>
          <w:rFonts w:ascii="Arial" w:hAnsi="Arial" w:cs="Arial"/>
          <w:sz w:val="24"/>
          <w:szCs w:val="24"/>
        </w:rPr>
        <w:t>ç yıllık vadede belirlenmeye devam edilecektir.</w:t>
      </w:r>
    </w:p>
    <w:p w:rsidR="00AD5C87" w:rsidRPr="00276B6A" w:rsidRDefault="00AD5C87"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 xml:space="preserve">Para politikasının hesap verebilirliğini ve şeffaflığını temin </w:t>
      </w:r>
      <w:r w:rsidR="00A93AC3" w:rsidRPr="00276B6A">
        <w:rPr>
          <w:rFonts w:ascii="Arial" w:hAnsi="Arial" w:cs="Arial"/>
          <w:sz w:val="24"/>
          <w:szCs w:val="24"/>
        </w:rPr>
        <w:t>etmek amacıyla, enflasyonun yıl</w:t>
      </w:r>
      <w:r w:rsidRPr="00276B6A">
        <w:rPr>
          <w:rFonts w:ascii="Arial" w:hAnsi="Arial" w:cs="Arial"/>
          <w:sz w:val="24"/>
          <w:szCs w:val="24"/>
        </w:rPr>
        <w:t>sonu hedefinden belirgin olarak sapması ya da sapma olasılığının ortaya çıkması halinde, Merkez Bankası hedeften sapmanın nedenlerini ve enflasyonun tekrar hedefe yakınsaması için alınması gereken önlemleri Hükümete yazılı olarak bildirecek ve kamuoyuna duyuracaktır.</w:t>
      </w:r>
    </w:p>
    <w:p w:rsidR="00AD5C87" w:rsidRPr="00276B6A" w:rsidRDefault="00AD5C87"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 xml:space="preserve">Esnek ve etkin likidite yönetimine imkân veren para politikasının </w:t>
      </w:r>
      <w:proofErr w:type="spellStart"/>
      <w:r w:rsidRPr="00276B6A">
        <w:rPr>
          <w:rFonts w:ascii="Arial" w:hAnsi="Arial" w:cs="Arial"/>
          <w:sz w:val="24"/>
          <w:szCs w:val="24"/>
        </w:rPr>
        <w:t>operasyonel</w:t>
      </w:r>
      <w:proofErr w:type="spellEnd"/>
      <w:r w:rsidRPr="00276B6A">
        <w:rPr>
          <w:rFonts w:ascii="Arial" w:hAnsi="Arial" w:cs="Arial"/>
          <w:sz w:val="24"/>
          <w:szCs w:val="24"/>
        </w:rPr>
        <w:t xml:space="preserve"> çerçevesi önümüzdeki dönemde de sürdürülecektir.</w:t>
      </w:r>
    </w:p>
    <w:p w:rsidR="00AD5C87" w:rsidRPr="00276B6A" w:rsidRDefault="00AD5C87"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Dalgalı döviz kuru rejimi uygulamasına devam edilecektir.</w:t>
      </w:r>
    </w:p>
    <w:p w:rsidR="00AD5C87" w:rsidRPr="00276B6A" w:rsidRDefault="00AD5C87"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 xml:space="preserve">Piyasa derinliğinin kaybolmasına bağlı olarak </w:t>
      </w:r>
      <w:r w:rsidR="00FD7D74" w:rsidRPr="00276B6A">
        <w:rPr>
          <w:rFonts w:ascii="Arial" w:hAnsi="Arial" w:cs="Arial"/>
          <w:sz w:val="24"/>
          <w:szCs w:val="24"/>
        </w:rPr>
        <w:t xml:space="preserve">döviz </w:t>
      </w:r>
      <w:r w:rsidRPr="00276B6A">
        <w:rPr>
          <w:rFonts w:ascii="Arial" w:hAnsi="Arial" w:cs="Arial"/>
          <w:sz w:val="24"/>
          <w:szCs w:val="24"/>
        </w:rPr>
        <w:t>kurlar</w:t>
      </w:r>
      <w:r w:rsidR="00FD7D74" w:rsidRPr="00276B6A">
        <w:rPr>
          <w:rFonts w:ascii="Arial" w:hAnsi="Arial" w:cs="Arial"/>
          <w:sz w:val="24"/>
          <w:szCs w:val="24"/>
        </w:rPr>
        <w:t>ın</w:t>
      </w:r>
      <w:r w:rsidRPr="00276B6A">
        <w:rPr>
          <w:rFonts w:ascii="Arial" w:hAnsi="Arial" w:cs="Arial"/>
          <w:sz w:val="24"/>
          <w:szCs w:val="24"/>
        </w:rPr>
        <w:t xml:space="preserve">da sağlıksız fiyat oluşumlarının gözlenmesi veya aşırı oynaklık durumunda döviz satım ihaleleri yapılabileceği gibi </w:t>
      </w:r>
      <w:proofErr w:type="gramStart"/>
      <w:r w:rsidRPr="00276B6A">
        <w:rPr>
          <w:rFonts w:ascii="Arial" w:hAnsi="Arial" w:cs="Arial"/>
          <w:sz w:val="24"/>
          <w:szCs w:val="24"/>
        </w:rPr>
        <w:t>spekülatif</w:t>
      </w:r>
      <w:proofErr w:type="gramEnd"/>
      <w:r w:rsidRPr="00276B6A">
        <w:rPr>
          <w:rFonts w:ascii="Arial" w:hAnsi="Arial" w:cs="Arial"/>
          <w:sz w:val="24"/>
          <w:szCs w:val="24"/>
        </w:rPr>
        <w:t xml:space="preserve"> davranışlar gözlenmesi durumunda piyasaya doğrudan müdahale edilebilecektir.</w:t>
      </w:r>
    </w:p>
    <w:p w:rsidR="00AD5C87" w:rsidRPr="00276B6A" w:rsidRDefault="002807AB"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 xml:space="preserve">2013 yılında ihracat </w:t>
      </w:r>
      <w:proofErr w:type="gramStart"/>
      <w:r>
        <w:rPr>
          <w:rFonts w:ascii="Arial" w:hAnsi="Arial" w:cs="Arial"/>
          <w:sz w:val="24"/>
          <w:szCs w:val="24"/>
        </w:rPr>
        <w:t>reeskont</w:t>
      </w:r>
      <w:proofErr w:type="gramEnd"/>
      <w:r>
        <w:rPr>
          <w:rFonts w:ascii="Arial" w:hAnsi="Arial" w:cs="Arial"/>
          <w:sz w:val="24"/>
          <w:szCs w:val="24"/>
        </w:rPr>
        <w:t xml:space="preserve"> kredileri teminat şartlarına dair kullanım kolaylığı getirilmiş ve bu kapsamda ihracatçılara kullandırılan reeskont kredilerinin limiti 6 milyar dolardan 12 milyar dolara yükseltilmiş ve kredilerin vadesi uzatılmıştır. Limit artışı ve sağlanan kullanım kolaylığı çerçevesinde Program döneminde ihracat </w:t>
      </w:r>
      <w:proofErr w:type="gramStart"/>
      <w:r>
        <w:rPr>
          <w:rFonts w:ascii="Arial" w:hAnsi="Arial" w:cs="Arial"/>
          <w:sz w:val="24"/>
          <w:szCs w:val="24"/>
        </w:rPr>
        <w:t>reeskont</w:t>
      </w:r>
      <w:proofErr w:type="gramEnd"/>
      <w:r>
        <w:rPr>
          <w:rFonts w:ascii="Arial" w:hAnsi="Arial" w:cs="Arial"/>
          <w:sz w:val="24"/>
          <w:szCs w:val="24"/>
        </w:rPr>
        <w:t xml:space="preserve"> kredisi imkanının daha fazla kullanılması ve döviz rezervlerine bu yolla sağlanan katkının aynı oranda artması beklenmektedir.</w:t>
      </w:r>
    </w:p>
    <w:p w:rsidR="00AD5C87" w:rsidRPr="00276B6A" w:rsidRDefault="003334A1"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 xml:space="preserve">Rezerv </w:t>
      </w:r>
      <w:proofErr w:type="gramStart"/>
      <w:r>
        <w:rPr>
          <w:rFonts w:ascii="Arial" w:hAnsi="Arial" w:cs="Arial"/>
          <w:sz w:val="24"/>
          <w:szCs w:val="24"/>
        </w:rPr>
        <w:t>opsiyon</w:t>
      </w:r>
      <w:proofErr w:type="gramEnd"/>
      <w:r>
        <w:rPr>
          <w:rFonts w:ascii="Arial" w:hAnsi="Arial" w:cs="Arial"/>
          <w:sz w:val="24"/>
          <w:szCs w:val="24"/>
        </w:rPr>
        <w:t xml:space="preserve"> m</w:t>
      </w:r>
      <w:r w:rsidR="00AD5C87" w:rsidRPr="00276B6A">
        <w:rPr>
          <w:rFonts w:ascii="Arial" w:hAnsi="Arial" w:cs="Arial"/>
          <w:sz w:val="24"/>
          <w:szCs w:val="24"/>
        </w:rPr>
        <w:t xml:space="preserve">ekanizması sermaye akımlarındaki oynaklıklara karşı otomatik dengeleyici olarak kullanılmaya devam edilecektir. </w:t>
      </w:r>
    </w:p>
    <w:p w:rsidR="00857DB4" w:rsidRPr="001A4139" w:rsidRDefault="009B2AD0"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 xml:space="preserve">Para politikasında alınan kararlara ve uygulamasında kullanılan araçlara ilişkin iletişim kanalları güçlendirilecektir. </w:t>
      </w:r>
    </w:p>
    <w:p w:rsidR="00857DB4" w:rsidRPr="001A4139" w:rsidRDefault="00857DB4" w:rsidP="00D71AD9">
      <w:pPr>
        <w:spacing w:after="120" w:line="240" w:lineRule="auto"/>
        <w:ind w:firstLine="708"/>
        <w:jc w:val="both"/>
        <w:rPr>
          <w:rFonts w:ascii="Arial" w:hAnsi="Arial" w:cs="Arial"/>
          <w:b/>
          <w:sz w:val="24"/>
          <w:szCs w:val="24"/>
        </w:rPr>
      </w:pPr>
      <w:r w:rsidRPr="001A4139">
        <w:rPr>
          <w:rFonts w:ascii="Arial" w:hAnsi="Arial" w:cs="Arial"/>
          <w:b/>
          <w:sz w:val="24"/>
          <w:szCs w:val="24"/>
        </w:rPr>
        <w:t xml:space="preserve">5. Mali Piyasalar </w:t>
      </w:r>
    </w:p>
    <w:p w:rsidR="00FD7D74" w:rsidRPr="00257D50" w:rsidRDefault="003334A1"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57D50">
        <w:rPr>
          <w:rFonts w:ascii="Arial" w:hAnsi="Arial" w:cs="Arial"/>
          <w:sz w:val="24"/>
          <w:szCs w:val="24"/>
        </w:rPr>
        <w:t>Reel ekonominin ihtiyaçlarını karşılayan m</w:t>
      </w:r>
      <w:r w:rsidR="007E2549" w:rsidRPr="00257D50">
        <w:rPr>
          <w:rFonts w:ascii="Arial" w:hAnsi="Arial" w:cs="Arial"/>
          <w:sz w:val="24"/>
          <w:szCs w:val="24"/>
        </w:rPr>
        <w:t xml:space="preserve">ali piyasaların etkin ve şeffaf işleyen yapısının güçlendirilmesi temel amaçtır. Bu kapsamda, </w:t>
      </w:r>
      <w:r w:rsidRPr="00257D50">
        <w:rPr>
          <w:rFonts w:ascii="Arial" w:hAnsi="Arial" w:cs="Arial"/>
          <w:sz w:val="24"/>
          <w:szCs w:val="24"/>
        </w:rPr>
        <w:t xml:space="preserve">mali piyasaların </w:t>
      </w:r>
      <w:r w:rsidR="00FD7D74" w:rsidRPr="00257D50">
        <w:rPr>
          <w:rFonts w:ascii="Arial" w:hAnsi="Arial" w:cs="Arial"/>
          <w:sz w:val="24"/>
          <w:szCs w:val="24"/>
        </w:rPr>
        <w:t>büyümeyi finanse edecek her türlü finansal aracın ihraç edilebildiği, işlem maliyetlerinin düşük olduğu, güçlü bir teknolojik ve beşeri altyapıya sahip</w:t>
      </w:r>
      <w:r w:rsidR="007E2549" w:rsidRPr="00257D50">
        <w:rPr>
          <w:rFonts w:ascii="Arial" w:hAnsi="Arial" w:cs="Arial"/>
          <w:sz w:val="24"/>
          <w:szCs w:val="24"/>
        </w:rPr>
        <w:t xml:space="preserve"> olması </w:t>
      </w:r>
      <w:r w:rsidR="00FD7D74" w:rsidRPr="00257D50">
        <w:rPr>
          <w:rFonts w:ascii="Arial" w:hAnsi="Arial" w:cs="Arial"/>
          <w:sz w:val="24"/>
          <w:szCs w:val="24"/>
        </w:rPr>
        <w:t xml:space="preserve">öncelikli hedeftir.  </w:t>
      </w:r>
    </w:p>
    <w:p w:rsidR="007B2BB8" w:rsidRPr="00276B6A" w:rsidRDefault="007B2BB8"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Bankacılık sektörünün düzenleme ve denetimi, ülke şartlarına ve uluslararası standartlara uyum gözetilerek geliştirilecektir.</w:t>
      </w:r>
    </w:p>
    <w:p w:rsidR="007B2BB8" w:rsidRPr="00276B6A" w:rsidRDefault="007B2BB8"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Finansal istikrar gözetilerek ekonomideki devresel hareketlerin etkisini azaltmaya yönelik politikalar yürütülecektir.</w:t>
      </w:r>
    </w:p>
    <w:p w:rsidR="007B2BB8" w:rsidRPr="00276B6A" w:rsidRDefault="00D56EBC"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 xml:space="preserve">İstanbul’un uluslararası bir finans merkezi olmasına yönelik çalışmalar hızlandırılarak </w:t>
      </w:r>
      <w:r w:rsidRPr="00276B6A">
        <w:rPr>
          <w:rFonts w:ascii="Arial" w:hAnsi="Arial" w:cs="Arial"/>
          <w:sz w:val="24"/>
          <w:szCs w:val="24"/>
        </w:rPr>
        <w:t xml:space="preserve">finansal </w:t>
      </w:r>
      <w:r w:rsidR="007B2BB8" w:rsidRPr="00276B6A">
        <w:rPr>
          <w:rFonts w:ascii="Arial" w:hAnsi="Arial" w:cs="Arial"/>
          <w:sz w:val="24"/>
          <w:szCs w:val="24"/>
        </w:rPr>
        <w:t>hizmet ihracatı</w:t>
      </w:r>
      <w:r>
        <w:rPr>
          <w:rFonts w:ascii="Arial" w:hAnsi="Arial" w:cs="Arial"/>
          <w:sz w:val="24"/>
          <w:szCs w:val="24"/>
        </w:rPr>
        <w:t xml:space="preserve"> </w:t>
      </w:r>
      <w:r w:rsidR="007B2BB8" w:rsidRPr="00276B6A">
        <w:rPr>
          <w:rFonts w:ascii="Arial" w:hAnsi="Arial" w:cs="Arial"/>
          <w:sz w:val="24"/>
          <w:szCs w:val="24"/>
        </w:rPr>
        <w:t>artırılacaktır.</w:t>
      </w:r>
    </w:p>
    <w:p w:rsidR="007B2BB8" w:rsidRPr="00276B6A" w:rsidRDefault="00D56EBC"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 xml:space="preserve">Faizsiz </w:t>
      </w:r>
      <w:r w:rsidR="0026666D">
        <w:rPr>
          <w:rFonts w:ascii="Arial" w:hAnsi="Arial" w:cs="Arial"/>
          <w:sz w:val="24"/>
          <w:szCs w:val="24"/>
        </w:rPr>
        <w:t>finansman araçları</w:t>
      </w:r>
      <w:r w:rsidR="007B2BB8" w:rsidRPr="00276B6A">
        <w:rPr>
          <w:rFonts w:ascii="Arial" w:hAnsi="Arial" w:cs="Arial"/>
          <w:sz w:val="24"/>
          <w:szCs w:val="24"/>
        </w:rPr>
        <w:t xml:space="preserve"> yaygınlaştırıl</w:t>
      </w:r>
      <w:r w:rsidR="0026666D">
        <w:rPr>
          <w:rFonts w:ascii="Arial" w:hAnsi="Arial" w:cs="Arial"/>
          <w:sz w:val="24"/>
          <w:szCs w:val="24"/>
        </w:rPr>
        <w:t>acak</w:t>
      </w:r>
      <w:r w:rsidR="007B2BB8" w:rsidRPr="00276B6A">
        <w:rPr>
          <w:rFonts w:ascii="Arial" w:hAnsi="Arial" w:cs="Arial"/>
          <w:sz w:val="24"/>
          <w:szCs w:val="24"/>
        </w:rPr>
        <w:t xml:space="preserve"> ve çeşitlendiril</w:t>
      </w:r>
      <w:r w:rsidR="0026666D">
        <w:rPr>
          <w:rFonts w:ascii="Arial" w:hAnsi="Arial" w:cs="Arial"/>
          <w:sz w:val="24"/>
          <w:szCs w:val="24"/>
        </w:rPr>
        <w:t>ecek</w:t>
      </w:r>
      <w:r w:rsidR="007B2BB8" w:rsidRPr="00276B6A">
        <w:rPr>
          <w:rFonts w:ascii="Arial" w:hAnsi="Arial" w:cs="Arial"/>
          <w:sz w:val="24"/>
          <w:szCs w:val="24"/>
        </w:rPr>
        <w:t>, farkındalığın artırılması için çalışmalar yürütülecektir.</w:t>
      </w:r>
    </w:p>
    <w:p w:rsidR="007B2BB8" w:rsidRPr="00276B6A" w:rsidRDefault="007B2BB8"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Mali piyasaların sağlıklı işlemesine, finansal ürün çeşitliliği karşısında bireylerin bilinçli kararlar almasına ve yurt</w:t>
      </w:r>
      <w:r w:rsidR="00994C34">
        <w:rPr>
          <w:rFonts w:ascii="Arial" w:hAnsi="Arial" w:cs="Arial"/>
          <w:sz w:val="24"/>
          <w:szCs w:val="24"/>
        </w:rPr>
        <w:t xml:space="preserve"> </w:t>
      </w:r>
      <w:r w:rsidRPr="00276B6A">
        <w:rPr>
          <w:rFonts w:ascii="Arial" w:hAnsi="Arial" w:cs="Arial"/>
          <w:sz w:val="24"/>
          <w:szCs w:val="24"/>
        </w:rPr>
        <w:t xml:space="preserve">içi tasarrufların artmasına katkı sağlayan finansal eğitim yaygınlaştırılacaktır. </w:t>
      </w:r>
    </w:p>
    <w:p w:rsidR="007B2BB8" w:rsidRPr="00276B6A" w:rsidRDefault="007B2BB8"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Finans piyasalarına ilişkin uyuşmazlıkların süratli ve etkin bir şekil</w:t>
      </w:r>
      <w:r w:rsidR="005D716C">
        <w:rPr>
          <w:rFonts w:ascii="Arial" w:hAnsi="Arial" w:cs="Arial"/>
          <w:sz w:val="24"/>
          <w:szCs w:val="24"/>
        </w:rPr>
        <w:t>de çözümüne yönelik düzenleme yapılacak ve uygulama</w:t>
      </w:r>
      <w:r w:rsidRPr="00276B6A">
        <w:rPr>
          <w:rFonts w:ascii="Arial" w:hAnsi="Arial" w:cs="Arial"/>
          <w:sz w:val="24"/>
          <w:szCs w:val="24"/>
        </w:rPr>
        <w:t xml:space="preserve"> güçlendirilecektir.</w:t>
      </w:r>
    </w:p>
    <w:p w:rsidR="007B2BB8" w:rsidRPr="00276B6A" w:rsidRDefault="007B2BB8"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Tasarrufların uzun vadeli finansal araçlara kaydırılması</w:t>
      </w:r>
      <w:r w:rsidR="005D716C">
        <w:rPr>
          <w:rFonts w:ascii="Arial" w:hAnsi="Arial" w:cs="Arial"/>
          <w:sz w:val="24"/>
          <w:szCs w:val="24"/>
        </w:rPr>
        <w:t xml:space="preserve"> için gerekli yasal düzenleme</w:t>
      </w:r>
      <w:r w:rsidRPr="00276B6A">
        <w:rPr>
          <w:rFonts w:ascii="Arial" w:hAnsi="Arial" w:cs="Arial"/>
          <w:sz w:val="24"/>
          <w:szCs w:val="24"/>
        </w:rPr>
        <w:t xml:space="preserve"> yapılacaktır.</w:t>
      </w:r>
    </w:p>
    <w:p w:rsidR="0057664A" w:rsidRPr="00B32578" w:rsidRDefault="007B2BB8"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76B6A">
        <w:rPr>
          <w:rFonts w:ascii="Arial" w:hAnsi="Arial" w:cs="Arial"/>
          <w:sz w:val="24"/>
          <w:szCs w:val="24"/>
        </w:rPr>
        <w:t>Girişim sermayesi, bireysel katılım sermayesi, kredi garanti fonu, mikro kredi uygulamaları ve sermaye piyasası imkânları geliştirilerek, KOBİ ve girişimcilerin finansmana erişimi kolaylaştırılacaktır.</w:t>
      </w:r>
    </w:p>
    <w:p w:rsidR="00CF476E" w:rsidRPr="00982228" w:rsidRDefault="00CF476E" w:rsidP="00D71AD9">
      <w:pPr>
        <w:spacing w:after="120"/>
        <w:ind w:firstLine="708"/>
        <w:jc w:val="both"/>
        <w:rPr>
          <w:rFonts w:ascii="Arial" w:hAnsi="Arial" w:cs="Arial"/>
          <w:b/>
          <w:sz w:val="24"/>
          <w:szCs w:val="24"/>
        </w:rPr>
      </w:pPr>
      <w:r w:rsidRPr="00982228">
        <w:rPr>
          <w:rFonts w:ascii="Arial" w:hAnsi="Arial" w:cs="Arial"/>
          <w:b/>
          <w:sz w:val="24"/>
          <w:szCs w:val="24"/>
        </w:rPr>
        <w:t xml:space="preserve">6. İstihdam Politikaları </w:t>
      </w:r>
    </w:p>
    <w:p w:rsidR="00CF476E" w:rsidRPr="001A4139" w:rsidRDefault="00CF476E"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DF6434">
        <w:rPr>
          <w:rFonts w:ascii="Arial" w:hAnsi="Arial" w:cs="Arial"/>
          <w:sz w:val="24"/>
          <w:szCs w:val="24"/>
        </w:rPr>
        <w:t xml:space="preserve">Son dönemde işgücüne katılım, istihdam, işsizlik, kayıt dışı istihdam, işgücünün eğitim seviyesi ve verimliliği gibi göstergelerde olumlu gelişmeler sağlanmış olmakla birlikte gerek bu alanlarda daha fazla ilerleme kaydedilmesi ihtiyacı gerekse işgücü piyasasındaki katılıklar, kıdem tazminatı ve alt işverenlik gibi yapısal sorunlar önemini korumaktadır. </w:t>
      </w:r>
      <w:r>
        <w:rPr>
          <w:rFonts w:ascii="Arial" w:hAnsi="Arial" w:cs="Arial"/>
          <w:sz w:val="24"/>
          <w:szCs w:val="24"/>
        </w:rPr>
        <w:t xml:space="preserve">Bu kapsamda, sürdürülebilir ve kapsayıcı büyüme anlayışıyla istihdam imkânlarının geliştirildiği, işgücü piyasasının etkinleştirildiği ve nitelikli işgücünün artırıldığı daha </w:t>
      </w:r>
      <w:r w:rsidRPr="00982228">
        <w:rPr>
          <w:rFonts w:ascii="Arial" w:hAnsi="Arial" w:cs="Arial"/>
          <w:sz w:val="24"/>
          <w:szCs w:val="24"/>
        </w:rPr>
        <w:t xml:space="preserve">rekabetçi bir işgücü piyasasının oluşturulması </w:t>
      </w:r>
      <w:r>
        <w:rPr>
          <w:rFonts w:ascii="Arial" w:hAnsi="Arial" w:cs="Arial"/>
          <w:sz w:val="24"/>
          <w:szCs w:val="24"/>
        </w:rPr>
        <w:t>temel amaçtır.</w:t>
      </w:r>
    </w:p>
    <w:p w:rsidR="00CF476E" w:rsidRPr="00982228" w:rsidRDefault="00CF476E" w:rsidP="00D71AD9">
      <w:pPr>
        <w:pStyle w:val="ListeParagraf"/>
        <w:numPr>
          <w:ilvl w:val="0"/>
          <w:numId w:val="10"/>
        </w:numPr>
        <w:spacing w:after="120" w:line="240" w:lineRule="auto"/>
        <w:ind w:left="0" w:firstLine="0"/>
        <w:contextualSpacing w:val="0"/>
        <w:jc w:val="both"/>
        <w:rPr>
          <w:rFonts w:ascii="Arial" w:hAnsi="Arial" w:cs="Arial"/>
          <w:sz w:val="24"/>
          <w:szCs w:val="24"/>
        </w:rPr>
      </w:pPr>
      <w:r>
        <w:rPr>
          <w:rFonts w:ascii="Arial" w:hAnsi="Arial" w:cs="Arial"/>
          <w:sz w:val="24"/>
          <w:szCs w:val="24"/>
        </w:rPr>
        <w:t>Bireylere</w:t>
      </w:r>
      <w:r w:rsidRPr="00982228">
        <w:rPr>
          <w:rFonts w:ascii="Arial" w:hAnsi="Arial" w:cs="Arial"/>
          <w:sz w:val="24"/>
          <w:szCs w:val="24"/>
        </w:rPr>
        <w:t xml:space="preserve"> işgücü piyasasının talepleriyle uyumlu temel ve mesleki beceriler kazandırılacak</w:t>
      </w:r>
      <w:r>
        <w:rPr>
          <w:rFonts w:ascii="Arial" w:hAnsi="Arial" w:cs="Arial"/>
          <w:sz w:val="24"/>
          <w:szCs w:val="24"/>
        </w:rPr>
        <w:t xml:space="preserve">, </w:t>
      </w:r>
      <w:r w:rsidRPr="00982228">
        <w:rPr>
          <w:rFonts w:ascii="Arial" w:hAnsi="Arial" w:cs="Arial"/>
          <w:sz w:val="24"/>
          <w:szCs w:val="24"/>
        </w:rPr>
        <w:t xml:space="preserve"> i</w:t>
      </w:r>
      <w:r>
        <w:rPr>
          <w:rFonts w:ascii="Arial" w:hAnsi="Arial" w:cs="Arial"/>
          <w:sz w:val="24"/>
          <w:szCs w:val="24"/>
        </w:rPr>
        <w:t>ş-aile yaşamı</w:t>
      </w:r>
      <w:r w:rsidRPr="00982228">
        <w:rPr>
          <w:rFonts w:ascii="Arial" w:hAnsi="Arial" w:cs="Arial"/>
          <w:sz w:val="24"/>
          <w:szCs w:val="24"/>
        </w:rPr>
        <w:t xml:space="preserve"> uyumlu hale getiril</w:t>
      </w:r>
      <w:r>
        <w:rPr>
          <w:rFonts w:ascii="Arial" w:hAnsi="Arial" w:cs="Arial"/>
          <w:sz w:val="24"/>
          <w:szCs w:val="24"/>
        </w:rPr>
        <w:t xml:space="preserve">ecek </w:t>
      </w:r>
      <w:r w:rsidRPr="00982228">
        <w:rPr>
          <w:rFonts w:ascii="Arial" w:hAnsi="Arial" w:cs="Arial"/>
          <w:sz w:val="24"/>
          <w:szCs w:val="24"/>
        </w:rPr>
        <w:t>ve aktif işgücü politikaları etki analizlerine dayalı olarak uygulanacakt</w:t>
      </w:r>
      <w:r>
        <w:rPr>
          <w:rFonts w:ascii="Arial" w:hAnsi="Arial" w:cs="Arial"/>
          <w:sz w:val="24"/>
          <w:szCs w:val="24"/>
        </w:rPr>
        <w:t>ır.</w:t>
      </w:r>
    </w:p>
    <w:p w:rsidR="00CF476E" w:rsidRDefault="00CF476E"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E174FA">
        <w:rPr>
          <w:rFonts w:ascii="Arial" w:hAnsi="Arial" w:cs="Arial"/>
          <w:sz w:val="24"/>
          <w:szCs w:val="24"/>
        </w:rPr>
        <w:t>Etkin ve bütüncül bir istihdam politikası izlenerek; kadın, genç ve engelliler başta olmak üzere, işgücüne katılım ve istihdam oranları artırıl</w:t>
      </w:r>
      <w:r w:rsidR="003F2929">
        <w:rPr>
          <w:rFonts w:ascii="Arial" w:hAnsi="Arial" w:cs="Arial"/>
          <w:sz w:val="24"/>
          <w:szCs w:val="24"/>
        </w:rPr>
        <w:t>maya devam edilecektir.</w:t>
      </w:r>
      <w:r w:rsidRPr="00E174FA">
        <w:rPr>
          <w:rFonts w:ascii="Arial" w:hAnsi="Arial" w:cs="Arial"/>
          <w:sz w:val="24"/>
          <w:szCs w:val="24"/>
        </w:rPr>
        <w:t xml:space="preserve"> </w:t>
      </w:r>
    </w:p>
    <w:p w:rsidR="00CF476E" w:rsidRPr="00E174FA" w:rsidRDefault="00CF476E"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E174FA">
        <w:rPr>
          <w:rFonts w:ascii="Arial" w:hAnsi="Arial" w:cs="Arial"/>
          <w:sz w:val="24"/>
          <w:szCs w:val="24"/>
        </w:rPr>
        <w:t xml:space="preserve">Özel istihdam büroları yaygınlaştırılacak ve faaliyet alanları geçici iş ilişkisini de kapsayacak şekilde genişletilecektir. </w:t>
      </w:r>
    </w:p>
    <w:p w:rsidR="00CF476E" w:rsidRPr="00281D86" w:rsidRDefault="00CF476E"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281D86">
        <w:rPr>
          <w:rFonts w:ascii="Arial" w:hAnsi="Arial" w:cs="Arial"/>
          <w:sz w:val="24"/>
          <w:szCs w:val="24"/>
        </w:rPr>
        <w:t>Alt işverenlik uygulaması işçi haklarını ve ekonominin rekabet gücünü dikkate alacak şekilde gözden geçirilecektir.</w:t>
      </w:r>
    </w:p>
    <w:p w:rsidR="00CF476E" w:rsidRPr="00982228" w:rsidRDefault="00CF476E"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982228">
        <w:rPr>
          <w:rFonts w:ascii="Arial" w:hAnsi="Arial" w:cs="Arial"/>
          <w:sz w:val="24"/>
          <w:szCs w:val="24"/>
        </w:rPr>
        <w:t>Sosyal taraflarla diyalog içerisinde tüm işçiler</w:t>
      </w:r>
      <w:r>
        <w:rPr>
          <w:rFonts w:ascii="Arial" w:hAnsi="Arial" w:cs="Arial"/>
          <w:sz w:val="24"/>
          <w:szCs w:val="24"/>
        </w:rPr>
        <w:t>in</w:t>
      </w:r>
      <w:r w:rsidRPr="00982228">
        <w:rPr>
          <w:rFonts w:ascii="Arial" w:hAnsi="Arial" w:cs="Arial"/>
          <w:sz w:val="24"/>
          <w:szCs w:val="24"/>
        </w:rPr>
        <w:t xml:space="preserve"> </w:t>
      </w:r>
      <w:r>
        <w:rPr>
          <w:rFonts w:ascii="Arial" w:hAnsi="Arial" w:cs="Arial"/>
          <w:sz w:val="24"/>
          <w:szCs w:val="24"/>
        </w:rPr>
        <w:t xml:space="preserve">faydalanacağı </w:t>
      </w:r>
      <w:r w:rsidRPr="00982228">
        <w:rPr>
          <w:rFonts w:ascii="Arial" w:hAnsi="Arial" w:cs="Arial"/>
          <w:sz w:val="24"/>
          <w:szCs w:val="24"/>
        </w:rPr>
        <w:t xml:space="preserve">ve bireysel hesaba dayanan bir kıdem tazminatı sistemi </w:t>
      </w:r>
      <w:r w:rsidR="00934952">
        <w:rPr>
          <w:rFonts w:ascii="Arial" w:hAnsi="Arial" w:cs="Arial"/>
          <w:sz w:val="24"/>
          <w:szCs w:val="24"/>
        </w:rPr>
        <w:t>geliştirilecektir.</w:t>
      </w:r>
      <w:r w:rsidRPr="00982228">
        <w:rPr>
          <w:rFonts w:ascii="Arial" w:hAnsi="Arial" w:cs="Arial"/>
          <w:sz w:val="24"/>
          <w:szCs w:val="24"/>
        </w:rPr>
        <w:t xml:space="preserve">  </w:t>
      </w:r>
    </w:p>
    <w:p w:rsidR="00CF476E" w:rsidRDefault="00CF476E"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E174FA">
        <w:rPr>
          <w:rFonts w:ascii="Arial" w:hAnsi="Arial" w:cs="Arial"/>
          <w:sz w:val="24"/>
          <w:szCs w:val="24"/>
        </w:rPr>
        <w:t>Bölgesel düzeyde farklı dinamiklere tâbi olan işsizlik sorununun çözümüne yönelik olarak işgücü piyasası ayrıntılı analiz edilecek ve bölgeye özgü stratejiler ge</w:t>
      </w:r>
      <w:r>
        <w:rPr>
          <w:rFonts w:ascii="Arial" w:hAnsi="Arial" w:cs="Arial"/>
          <w:sz w:val="24"/>
          <w:szCs w:val="24"/>
        </w:rPr>
        <w:t>liştirilecektir.</w:t>
      </w:r>
    </w:p>
    <w:p w:rsidR="00CF476E" w:rsidRPr="00E174FA" w:rsidRDefault="00CF476E"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E174FA">
        <w:rPr>
          <w:rFonts w:ascii="Arial" w:hAnsi="Arial" w:cs="Arial"/>
          <w:sz w:val="24"/>
          <w:szCs w:val="24"/>
        </w:rPr>
        <w:t>Yoksul kesimin istihdam edilebilirliğinin artırılması ve üretken duruma geçirilmesine yönelik olarak sosyal yardım-istihdam bağlantısı güçlendirilecektir.</w:t>
      </w:r>
    </w:p>
    <w:p w:rsidR="00CF476E" w:rsidRPr="001A3967" w:rsidRDefault="00CF476E" w:rsidP="00D71AD9">
      <w:pPr>
        <w:pStyle w:val="ListeParagraf"/>
        <w:numPr>
          <w:ilvl w:val="0"/>
          <w:numId w:val="10"/>
        </w:numPr>
        <w:spacing w:after="120" w:line="240" w:lineRule="auto"/>
        <w:ind w:left="0" w:firstLine="0"/>
        <w:contextualSpacing w:val="0"/>
        <w:jc w:val="both"/>
        <w:rPr>
          <w:rFonts w:ascii="Arial" w:hAnsi="Arial" w:cs="Arial"/>
          <w:sz w:val="24"/>
          <w:szCs w:val="24"/>
        </w:rPr>
      </w:pPr>
      <w:r w:rsidRPr="001A3967">
        <w:rPr>
          <w:rFonts w:ascii="Arial" w:hAnsi="Arial" w:cs="Arial"/>
          <w:sz w:val="24"/>
          <w:szCs w:val="24"/>
        </w:rPr>
        <w:t>Kayıt dışı istihdam ve kayıt dışı ücretle mücadele edilerek kayıtlı çalışan sayısı artırılacak ve prim tabanı genişletilecektir.</w:t>
      </w:r>
    </w:p>
    <w:p w:rsidR="00CF476E" w:rsidRDefault="00CF476E" w:rsidP="00D71AD9">
      <w:pPr>
        <w:autoSpaceDE w:val="0"/>
        <w:autoSpaceDN w:val="0"/>
        <w:adjustRightInd w:val="0"/>
        <w:spacing w:after="120" w:line="240" w:lineRule="auto"/>
        <w:ind w:left="1068"/>
        <w:jc w:val="both"/>
        <w:rPr>
          <w:rFonts w:ascii="Arial" w:hAnsi="Arial" w:cs="Arial"/>
          <w:sz w:val="24"/>
          <w:szCs w:val="24"/>
        </w:rPr>
      </w:pPr>
    </w:p>
    <w:p w:rsidR="00A933E5" w:rsidRDefault="00A933E5" w:rsidP="00D71AD9">
      <w:pPr>
        <w:autoSpaceDE w:val="0"/>
        <w:autoSpaceDN w:val="0"/>
        <w:adjustRightInd w:val="0"/>
        <w:spacing w:after="120" w:line="240" w:lineRule="auto"/>
        <w:ind w:left="1068"/>
        <w:jc w:val="both"/>
        <w:rPr>
          <w:rFonts w:ascii="Arial" w:hAnsi="Arial" w:cs="Arial"/>
          <w:sz w:val="24"/>
          <w:szCs w:val="24"/>
        </w:rPr>
      </w:pPr>
    </w:p>
    <w:p w:rsidR="00A933E5" w:rsidRDefault="00A933E5" w:rsidP="00D71AD9">
      <w:pPr>
        <w:autoSpaceDE w:val="0"/>
        <w:autoSpaceDN w:val="0"/>
        <w:adjustRightInd w:val="0"/>
        <w:spacing w:after="120" w:line="240" w:lineRule="auto"/>
        <w:ind w:left="1068"/>
        <w:jc w:val="both"/>
        <w:rPr>
          <w:rFonts w:ascii="Arial" w:hAnsi="Arial" w:cs="Arial"/>
          <w:sz w:val="24"/>
          <w:szCs w:val="24"/>
        </w:rPr>
      </w:pPr>
    </w:p>
    <w:p w:rsidR="00A933E5" w:rsidRDefault="00A933E5" w:rsidP="00D71AD9">
      <w:pPr>
        <w:autoSpaceDE w:val="0"/>
        <w:autoSpaceDN w:val="0"/>
        <w:adjustRightInd w:val="0"/>
        <w:spacing w:after="120" w:line="240" w:lineRule="auto"/>
        <w:ind w:left="1068"/>
        <w:jc w:val="both"/>
        <w:rPr>
          <w:rFonts w:ascii="Arial" w:hAnsi="Arial" w:cs="Arial"/>
          <w:sz w:val="24"/>
          <w:szCs w:val="24"/>
        </w:rPr>
      </w:pPr>
    </w:p>
    <w:p w:rsidR="00A933E5" w:rsidRDefault="00A933E5" w:rsidP="00D71AD9">
      <w:pPr>
        <w:autoSpaceDE w:val="0"/>
        <w:autoSpaceDN w:val="0"/>
        <w:adjustRightInd w:val="0"/>
        <w:spacing w:after="120" w:line="240" w:lineRule="auto"/>
        <w:ind w:left="1068"/>
        <w:jc w:val="both"/>
        <w:rPr>
          <w:rFonts w:ascii="Arial" w:hAnsi="Arial" w:cs="Arial"/>
          <w:sz w:val="24"/>
          <w:szCs w:val="24"/>
        </w:rPr>
      </w:pPr>
    </w:p>
    <w:p w:rsidR="00A933E5" w:rsidRDefault="00A933E5" w:rsidP="00D71AD9">
      <w:pPr>
        <w:autoSpaceDE w:val="0"/>
        <w:autoSpaceDN w:val="0"/>
        <w:adjustRightInd w:val="0"/>
        <w:spacing w:after="120" w:line="240" w:lineRule="auto"/>
        <w:ind w:left="1068"/>
        <w:jc w:val="both"/>
        <w:rPr>
          <w:rFonts w:ascii="Arial" w:hAnsi="Arial" w:cs="Arial"/>
          <w:sz w:val="24"/>
          <w:szCs w:val="24"/>
        </w:rPr>
      </w:pPr>
    </w:p>
    <w:p w:rsidR="00A933E5" w:rsidRDefault="00A933E5" w:rsidP="00D71AD9">
      <w:pPr>
        <w:autoSpaceDE w:val="0"/>
        <w:autoSpaceDN w:val="0"/>
        <w:adjustRightInd w:val="0"/>
        <w:spacing w:after="120" w:line="240" w:lineRule="auto"/>
        <w:ind w:left="1068"/>
        <w:jc w:val="both"/>
        <w:rPr>
          <w:rFonts w:ascii="Arial" w:hAnsi="Arial" w:cs="Arial"/>
          <w:sz w:val="24"/>
          <w:szCs w:val="24"/>
        </w:rPr>
      </w:pPr>
    </w:p>
    <w:p w:rsidR="00A933E5" w:rsidRDefault="00A933E5" w:rsidP="00D71AD9">
      <w:pPr>
        <w:autoSpaceDE w:val="0"/>
        <w:autoSpaceDN w:val="0"/>
        <w:adjustRightInd w:val="0"/>
        <w:spacing w:after="120" w:line="240" w:lineRule="auto"/>
        <w:ind w:left="1068"/>
        <w:jc w:val="both"/>
        <w:rPr>
          <w:rFonts w:ascii="Arial" w:hAnsi="Arial" w:cs="Arial"/>
          <w:sz w:val="24"/>
          <w:szCs w:val="24"/>
        </w:rPr>
      </w:pPr>
    </w:p>
    <w:p w:rsidR="00A933E5" w:rsidRDefault="00A933E5" w:rsidP="00D71AD9">
      <w:pPr>
        <w:autoSpaceDE w:val="0"/>
        <w:autoSpaceDN w:val="0"/>
        <w:adjustRightInd w:val="0"/>
        <w:spacing w:after="120" w:line="240" w:lineRule="auto"/>
        <w:ind w:left="1068"/>
        <w:jc w:val="both"/>
        <w:rPr>
          <w:rFonts w:ascii="Arial" w:hAnsi="Arial" w:cs="Arial"/>
          <w:sz w:val="24"/>
          <w:szCs w:val="24"/>
        </w:rPr>
      </w:pPr>
    </w:p>
    <w:p w:rsidR="00A933E5" w:rsidRDefault="00A933E5" w:rsidP="00D71AD9">
      <w:pPr>
        <w:autoSpaceDE w:val="0"/>
        <w:autoSpaceDN w:val="0"/>
        <w:adjustRightInd w:val="0"/>
        <w:spacing w:after="120" w:line="240" w:lineRule="auto"/>
        <w:ind w:left="1068"/>
        <w:jc w:val="both"/>
        <w:rPr>
          <w:rFonts w:ascii="Arial" w:hAnsi="Arial" w:cs="Arial"/>
          <w:sz w:val="24"/>
          <w:szCs w:val="24"/>
        </w:rPr>
      </w:pPr>
    </w:p>
    <w:p w:rsidR="00A933E5" w:rsidRDefault="00A933E5" w:rsidP="00D71AD9">
      <w:pPr>
        <w:autoSpaceDE w:val="0"/>
        <w:autoSpaceDN w:val="0"/>
        <w:adjustRightInd w:val="0"/>
        <w:spacing w:after="120" w:line="240" w:lineRule="auto"/>
        <w:ind w:left="1068"/>
        <w:jc w:val="both"/>
        <w:rPr>
          <w:rFonts w:ascii="Arial" w:hAnsi="Arial" w:cs="Arial"/>
          <w:sz w:val="24"/>
          <w:szCs w:val="24"/>
        </w:rPr>
      </w:pPr>
    </w:p>
    <w:p w:rsidR="00A933E5" w:rsidRDefault="00A933E5" w:rsidP="00D71AD9">
      <w:pPr>
        <w:autoSpaceDE w:val="0"/>
        <w:autoSpaceDN w:val="0"/>
        <w:adjustRightInd w:val="0"/>
        <w:spacing w:after="120" w:line="240" w:lineRule="auto"/>
        <w:ind w:left="1068"/>
        <w:jc w:val="both"/>
        <w:rPr>
          <w:rFonts w:ascii="Arial" w:hAnsi="Arial" w:cs="Arial"/>
          <w:sz w:val="24"/>
          <w:szCs w:val="24"/>
        </w:rPr>
      </w:pPr>
    </w:p>
    <w:p w:rsidR="00A933E5" w:rsidRDefault="00A933E5" w:rsidP="00D71AD9">
      <w:pPr>
        <w:autoSpaceDE w:val="0"/>
        <w:autoSpaceDN w:val="0"/>
        <w:adjustRightInd w:val="0"/>
        <w:spacing w:after="120" w:line="240" w:lineRule="auto"/>
        <w:ind w:left="1068"/>
        <w:jc w:val="both"/>
        <w:rPr>
          <w:rFonts w:ascii="Arial" w:hAnsi="Arial" w:cs="Arial"/>
          <w:sz w:val="24"/>
          <w:szCs w:val="24"/>
        </w:rPr>
      </w:pPr>
    </w:p>
    <w:p w:rsidR="00A933E5" w:rsidRDefault="00A933E5" w:rsidP="00D71AD9">
      <w:pPr>
        <w:autoSpaceDE w:val="0"/>
        <w:autoSpaceDN w:val="0"/>
        <w:adjustRightInd w:val="0"/>
        <w:spacing w:after="120" w:line="240" w:lineRule="auto"/>
        <w:ind w:left="1068"/>
        <w:jc w:val="both"/>
        <w:rPr>
          <w:rFonts w:ascii="Arial" w:hAnsi="Arial" w:cs="Arial"/>
          <w:sz w:val="24"/>
          <w:szCs w:val="24"/>
        </w:rPr>
      </w:pPr>
    </w:p>
    <w:p w:rsidR="00A933E5" w:rsidRDefault="00A933E5" w:rsidP="00D71AD9">
      <w:pPr>
        <w:autoSpaceDE w:val="0"/>
        <w:autoSpaceDN w:val="0"/>
        <w:adjustRightInd w:val="0"/>
        <w:spacing w:after="120" w:line="240" w:lineRule="auto"/>
        <w:ind w:left="1068"/>
        <w:jc w:val="both"/>
        <w:rPr>
          <w:rFonts w:ascii="Arial" w:hAnsi="Arial" w:cs="Arial"/>
          <w:sz w:val="24"/>
          <w:szCs w:val="24"/>
        </w:rPr>
      </w:pPr>
    </w:p>
    <w:p w:rsidR="00A933E5" w:rsidRDefault="00A933E5" w:rsidP="00D71AD9">
      <w:pPr>
        <w:autoSpaceDE w:val="0"/>
        <w:autoSpaceDN w:val="0"/>
        <w:adjustRightInd w:val="0"/>
        <w:spacing w:after="120" w:line="240" w:lineRule="auto"/>
        <w:ind w:left="1068"/>
        <w:jc w:val="both"/>
        <w:rPr>
          <w:rFonts w:ascii="Arial" w:hAnsi="Arial" w:cs="Arial"/>
          <w:sz w:val="24"/>
          <w:szCs w:val="24"/>
        </w:rPr>
      </w:pPr>
    </w:p>
    <w:p w:rsidR="00A933E5" w:rsidRDefault="00A933E5" w:rsidP="00D71AD9">
      <w:pPr>
        <w:autoSpaceDE w:val="0"/>
        <w:autoSpaceDN w:val="0"/>
        <w:adjustRightInd w:val="0"/>
        <w:spacing w:after="120" w:line="240" w:lineRule="auto"/>
        <w:ind w:left="1068"/>
        <w:jc w:val="both"/>
        <w:rPr>
          <w:rFonts w:ascii="Arial" w:hAnsi="Arial" w:cs="Arial"/>
          <w:sz w:val="24"/>
          <w:szCs w:val="24"/>
        </w:rPr>
      </w:pPr>
    </w:p>
    <w:p w:rsidR="00A933E5" w:rsidRDefault="00A933E5" w:rsidP="00D71AD9">
      <w:pPr>
        <w:autoSpaceDE w:val="0"/>
        <w:autoSpaceDN w:val="0"/>
        <w:adjustRightInd w:val="0"/>
        <w:spacing w:after="120" w:line="240" w:lineRule="auto"/>
        <w:ind w:left="1068"/>
        <w:jc w:val="both"/>
        <w:rPr>
          <w:rFonts w:ascii="Arial" w:hAnsi="Arial" w:cs="Arial"/>
          <w:sz w:val="24"/>
          <w:szCs w:val="24"/>
        </w:rPr>
      </w:pPr>
    </w:p>
    <w:p w:rsidR="00A933E5" w:rsidRDefault="00A933E5" w:rsidP="00D71AD9">
      <w:pPr>
        <w:autoSpaceDE w:val="0"/>
        <w:autoSpaceDN w:val="0"/>
        <w:adjustRightInd w:val="0"/>
        <w:spacing w:after="120" w:line="240" w:lineRule="auto"/>
        <w:ind w:left="1068"/>
        <w:jc w:val="both"/>
        <w:rPr>
          <w:rFonts w:ascii="Arial" w:hAnsi="Arial" w:cs="Arial"/>
          <w:sz w:val="24"/>
          <w:szCs w:val="24"/>
        </w:rPr>
      </w:pPr>
    </w:p>
    <w:p w:rsidR="00A933E5" w:rsidRDefault="00A933E5" w:rsidP="00D71AD9">
      <w:pPr>
        <w:autoSpaceDE w:val="0"/>
        <w:autoSpaceDN w:val="0"/>
        <w:adjustRightInd w:val="0"/>
        <w:spacing w:after="120" w:line="240" w:lineRule="auto"/>
        <w:ind w:left="1068"/>
        <w:jc w:val="both"/>
        <w:rPr>
          <w:rFonts w:ascii="Arial" w:hAnsi="Arial" w:cs="Arial"/>
          <w:sz w:val="24"/>
          <w:szCs w:val="24"/>
        </w:rPr>
      </w:pPr>
    </w:p>
    <w:p w:rsidR="00821B22" w:rsidRDefault="00821B22" w:rsidP="00D71AD9">
      <w:pPr>
        <w:autoSpaceDE w:val="0"/>
        <w:autoSpaceDN w:val="0"/>
        <w:adjustRightInd w:val="0"/>
        <w:spacing w:after="120" w:line="240" w:lineRule="auto"/>
        <w:ind w:left="1068"/>
        <w:jc w:val="both"/>
        <w:rPr>
          <w:rFonts w:ascii="Arial" w:hAnsi="Arial" w:cs="Arial"/>
          <w:sz w:val="24"/>
          <w:szCs w:val="24"/>
        </w:rPr>
      </w:pPr>
    </w:p>
    <w:p w:rsidR="00821B22" w:rsidRDefault="00821B22" w:rsidP="00D71AD9">
      <w:pPr>
        <w:autoSpaceDE w:val="0"/>
        <w:autoSpaceDN w:val="0"/>
        <w:adjustRightInd w:val="0"/>
        <w:spacing w:after="120" w:line="240" w:lineRule="auto"/>
        <w:ind w:left="1068"/>
        <w:jc w:val="both"/>
        <w:rPr>
          <w:rFonts w:ascii="Arial" w:hAnsi="Arial" w:cs="Arial"/>
          <w:sz w:val="24"/>
          <w:szCs w:val="24"/>
        </w:rPr>
      </w:pPr>
    </w:p>
    <w:p w:rsidR="00A933E5" w:rsidRPr="00821B22" w:rsidRDefault="00A933E5" w:rsidP="00A933E5">
      <w:pPr>
        <w:pStyle w:val="Balk1"/>
        <w:spacing w:before="0" w:after="0" w:line="240" w:lineRule="auto"/>
        <w:rPr>
          <w:rFonts w:ascii="Arial" w:hAnsi="Arial" w:cs="Arial"/>
          <w:sz w:val="22"/>
          <w:szCs w:val="24"/>
        </w:rPr>
      </w:pPr>
      <w:bookmarkStart w:id="2" w:name="_Toc202075283"/>
      <w:r w:rsidRPr="00821B22">
        <w:rPr>
          <w:rFonts w:ascii="Arial" w:hAnsi="Arial" w:cs="Arial"/>
          <w:sz w:val="22"/>
          <w:szCs w:val="24"/>
        </w:rPr>
        <w:t>Ek Tablo 1: Temel Ekonomik Büyüklükler</w:t>
      </w:r>
      <w:bookmarkEnd w:id="2"/>
    </w:p>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0"/>
        <w:gridCol w:w="1154"/>
        <w:gridCol w:w="1010"/>
        <w:gridCol w:w="1010"/>
        <w:gridCol w:w="1010"/>
        <w:gridCol w:w="931"/>
      </w:tblGrid>
      <w:tr w:rsidR="00A933E5" w:rsidRPr="00A933E5" w:rsidTr="001F18F2">
        <w:trPr>
          <w:trHeight w:val="356"/>
        </w:trPr>
        <w:tc>
          <w:tcPr>
            <w:tcW w:w="2269" w:type="pct"/>
            <w:shd w:val="clear" w:color="auto" w:fill="auto"/>
            <w:noWrap/>
            <w:vAlign w:val="center"/>
          </w:tcPr>
          <w:p w:rsidR="00A933E5" w:rsidRPr="00A933E5" w:rsidRDefault="00A933E5" w:rsidP="001F18F2">
            <w:pPr>
              <w:spacing w:line="240" w:lineRule="auto"/>
              <w:rPr>
                <w:rFonts w:ascii="Arial" w:hAnsi="Arial" w:cs="Arial"/>
                <w:b/>
                <w:sz w:val="18"/>
                <w:szCs w:val="18"/>
              </w:rPr>
            </w:pPr>
            <w:r w:rsidRPr="00A933E5">
              <w:rPr>
                <w:rFonts w:ascii="Arial" w:hAnsi="Arial" w:cs="Arial"/>
                <w:b/>
                <w:sz w:val="18"/>
                <w:szCs w:val="18"/>
              </w:rPr>
              <w:t> </w:t>
            </w:r>
          </w:p>
        </w:tc>
        <w:tc>
          <w:tcPr>
            <w:tcW w:w="616" w:type="pct"/>
            <w:vAlign w:val="center"/>
          </w:tcPr>
          <w:p w:rsidR="00A933E5" w:rsidRPr="00A933E5" w:rsidRDefault="00A933E5" w:rsidP="001F18F2">
            <w:pPr>
              <w:spacing w:after="0" w:line="240" w:lineRule="auto"/>
              <w:jc w:val="right"/>
              <w:rPr>
                <w:rFonts w:ascii="Arial" w:hAnsi="Arial" w:cs="Arial"/>
                <w:b/>
                <w:bCs/>
                <w:sz w:val="18"/>
                <w:szCs w:val="18"/>
              </w:rPr>
            </w:pPr>
            <w:r w:rsidRPr="00A933E5">
              <w:rPr>
                <w:rFonts w:ascii="Arial" w:hAnsi="Arial" w:cs="Arial"/>
                <w:b/>
                <w:bCs/>
                <w:sz w:val="18"/>
                <w:szCs w:val="18"/>
              </w:rPr>
              <w:t xml:space="preserve">2012 </w:t>
            </w:r>
          </w:p>
        </w:tc>
        <w:tc>
          <w:tcPr>
            <w:tcW w:w="539" w:type="pct"/>
            <w:shd w:val="clear" w:color="auto" w:fill="auto"/>
            <w:noWrap/>
            <w:vAlign w:val="center"/>
          </w:tcPr>
          <w:p w:rsidR="00A933E5" w:rsidRPr="00A933E5" w:rsidRDefault="00A933E5" w:rsidP="001F18F2">
            <w:pPr>
              <w:spacing w:after="0" w:line="240" w:lineRule="auto"/>
              <w:jc w:val="right"/>
              <w:rPr>
                <w:rFonts w:ascii="Arial" w:hAnsi="Arial" w:cs="Arial"/>
                <w:b/>
                <w:bCs/>
                <w:sz w:val="18"/>
                <w:szCs w:val="18"/>
              </w:rPr>
            </w:pPr>
            <w:r w:rsidRPr="00A933E5">
              <w:rPr>
                <w:rFonts w:ascii="Arial" w:hAnsi="Arial" w:cs="Arial"/>
                <w:b/>
                <w:bCs/>
                <w:sz w:val="18"/>
                <w:szCs w:val="18"/>
              </w:rPr>
              <w:t xml:space="preserve">2013 </w:t>
            </w:r>
            <w:r w:rsidRPr="00A933E5">
              <w:rPr>
                <w:rFonts w:ascii="Arial" w:hAnsi="Arial" w:cs="Arial"/>
                <w:b/>
                <w:bCs/>
                <w:sz w:val="18"/>
                <w:szCs w:val="18"/>
                <w:vertAlign w:val="superscript"/>
              </w:rPr>
              <w:t>(1)</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b/>
                <w:bCs/>
                <w:sz w:val="18"/>
                <w:szCs w:val="18"/>
              </w:rPr>
            </w:pPr>
            <w:r w:rsidRPr="00A933E5">
              <w:rPr>
                <w:rFonts w:ascii="Arial" w:hAnsi="Arial" w:cs="Arial"/>
                <w:b/>
                <w:bCs/>
                <w:sz w:val="18"/>
                <w:szCs w:val="18"/>
              </w:rPr>
              <w:t xml:space="preserve">2014 </w:t>
            </w:r>
            <w:r w:rsidRPr="00A933E5">
              <w:rPr>
                <w:rFonts w:ascii="Arial" w:hAnsi="Arial" w:cs="Arial"/>
                <w:b/>
                <w:bCs/>
                <w:sz w:val="18"/>
                <w:szCs w:val="18"/>
                <w:vertAlign w:val="superscript"/>
              </w:rPr>
              <w:t>(2)</w:t>
            </w:r>
            <w:r w:rsidRPr="00A933E5">
              <w:rPr>
                <w:rFonts w:ascii="Arial" w:hAnsi="Arial" w:cs="Arial"/>
                <w:b/>
                <w:bCs/>
                <w:sz w:val="18"/>
                <w:szCs w:val="18"/>
              </w:rPr>
              <w:t xml:space="preserve"> </w:t>
            </w:r>
          </w:p>
        </w:tc>
        <w:tc>
          <w:tcPr>
            <w:tcW w:w="539" w:type="pct"/>
            <w:shd w:val="clear" w:color="auto" w:fill="auto"/>
            <w:noWrap/>
            <w:vAlign w:val="center"/>
          </w:tcPr>
          <w:p w:rsidR="00A933E5" w:rsidRPr="00A933E5" w:rsidRDefault="00A933E5" w:rsidP="001F18F2">
            <w:pPr>
              <w:spacing w:after="0" w:line="240" w:lineRule="auto"/>
              <w:jc w:val="right"/>
              <w:rPr>
                <w:rFonts w:ascii="Arial" w:hAnsi="Arial" w:cs="Arial"/>
                <w:b/>
                <w:bCs/>
                <w:sz w:val="18"/>
                <w:szCs w:val="18"/>
              </w:rPr>
            </w:pPr>
            <w:r w:rsidRPr="00A933E5">
              <w:rPr>
                <w:rFonts w:ascii="Arial" w:hAnsi="Arial" w:cs="Arial"/>
                <w:b/>
                <w:bCs/>
                <w:sz w:val="18"/>
                <w:szCs w:val="18"/>
              </w:rPr>
              <w:t xml:space="preserve">2015 </w:t>
            </w:r>
            <w:r w:rsidRPr="00A933E5">
              <w:rPr>
                <w:rFonts w:ascii="Arial" w:hAnsi="Arial" w:cs="Arial"/>
                <w:b/>
                <w:bCs/>
                <w:sz w:val="18"/>
                <w:szCs w:val="18"/>
                <w:vertAlign w:val="superscript"/>
              </w:rPr>
              <w:t>(2)</w:t>
            </w:r>
            <w:r w:rsidRPr="00A933E5">
              <w:rPr>
                <w:rFonts w:ascii="Arial" w:hAnsi="Arial" w:cs="Arial"/>
                <w:b/>
                <w:bCs/>
                <w:sz w:val="18"/>
                <w:szCs w:val="18"/>
              </w:rPr>
              <w:t xml:space="preserve"> </w:t>
            </w:r>
          </w:p>
        </w:tc>
        <w:tc>
          <w:tcPr>
            <w:tcW w:w="497" w:type="pct"/>
            <w:vAlign w:val="center"/>
          </w:tcPr>
          <w:p w:rsidR="00A933E5" w:rsidRPr="00A933E5" w:rsidRDefault="00A933E5" w:rsidP="001F18F2">
            <w:pPr>
              <w:spacing w:after="0" w:line="240" w:lineRule="auto"/>
              <w:jc w:val="right"/>
              <w:rPr>
                <w:rFonts w:ascii="Arial" w:hAnsi="Arial" w:cs="Arial"/>
                <w:b/>
                <w:bCs/>
                <w:sz w:val="18"/>
                <w:szCs w:val="18"/>
              </w:rPr>
            </w:pPr>
            <w:r w:rsidRPr="00A933E5">
              <w:rPr>
                <w:rFonts w:ascii="Arial" w:hAnsi="Arial" w:cs="Arial"/>
                <w:b/>
                <w:bCs/>
                <w:sz w:val="18"/>
                <w:szCs w:val="18"/>
              </w:rPr>
              <w:t xml:space="preserve">2016 </w:t>
            </w:r>
            <w:r w:rsidRPr="00A933E5">
              <w:rPr>
                <w:rFonts w:ascii="Arial" w:hAnsi="Arial" w:cs="Arial"/>
                <w:b/>
                <w:bCs/>
                <w:sz w:val="18"/>
                <w:szCs w:val="18"/>
                <w:vertAlign w:val="superscript"/>
              </w:rPr>
              <w:t>(2)</w:t>
            </w:r>
            <w:r w:rsidRPr="00A933E5">
              <w:rPr>
                <w:rFonts w:ascii="Arial" w:hAnsi="Arial" w:cs="Arial"/>
                <w:b/>
                <w:bCs/>
                <w:sz w:val="18"/>
                <w:szCs w:val="18"/>
              </w:rPr>
              <w:t xml:space="preserve"> </w:t>
            </w:r>
          </w:p>
        </w:tc>
      </w:tr>
      <w:tr w:rsidR="00A933E5" w:rsidRPr="00A933E5" w:rsidTr="001F18F2">
        <w:trPr>
          <w:trHeight w:val="332"/>
        </w:trPr>
        <w:tc>
          <w:tcPr>
            <w:tcW w:w="2269" w:type="pct"/>
            <w:shd w:val="clear" w:color="auto" w:fill="auto"/>
            <w:noWrap/>
            <w:vAlign w:val="center"/>
          </w:tcPr>
          <w:p w:rsidR="00A933E5" w:rsidRPr="00A933E5" w:rsidRDefault="00A933E5" w:rsidP="001F18F2">
            <w:pPr>
              <w:spacing w:after="0" w:line="240" w:lineRule="auto"/>
              <w:ind w:firstLine="72"/>
              <w:rPr>
                <w:rFonts w:ascii="Arial" w:hAnsi="Arial" w:cs="Arial"/>
                <w:b/>
                <w:bCs/>
                <w:sz w:val="18"/>
                <w:szCs w:val="18"/>
              </w:rPr>
            </w:pPr>
            <w:r w:rsidRPr="00A933E5">
              <w:rPr>
                <w:rFonts w:ascii="Arial" w:hAnsi="Arial" w:cs="Arial"/>
                <w:b/>
                <w:bCs/>
                <w:sz w:val="18"/>
                <w:szCs w:val="18"/>
              </w:rPr>
              <w:t xml:space="preserve">BÜYÜME </w:t>
            </w:r>
          </w:p>
        </w:tc>
        <w:tc>
          <w:tcPr>
            <w:tcW w:w="616" w:type="pct"/>
            <w:vAlign w:val="center"/>
          </w:tcPr>
          <w:p w:rsidR="00A933E5" w:rsidRPr="00A933E5" w:rsidRDefault="00A933E5" w:rsidP="001F18F2">
            <w:pPr>
              <w:spacing w:after="0" w:line="240" w:lineRule="auto"/>
              <w:jc w:val="right"/>
              <w:rPr>
                <w:rFonts w:ascii="Arial" w:hAnsi="Arial" w:cs="Arial"/>
                <w:sz w:val="18"/>
                <w:szCs w:val="18"/>
              </w:rPr>
            </w:pPr>
          </w:p>
        </w:tc>
        <w:tc>
          <w:tcPr>
            <w:tcW w:w="539" w:type="pct"/>
            <w:shd w:val="clear" w:color="auto" w:fill="auto"/>
            <w:noWrap/>
            <w:vAlign w:val="center"/>
          </w:tcPr>
          <w:p w:rsidR="00A933E5" w:rsidRPr="00A933E5" w:rsidRDefault="00A933E5" w:rsidP="001F18F2">
            <w:pPr>
              <w:spacing w:after="0" w:line="240" w:lineRule="auto"/>
              <w:jc w:val="right"/>
              <w:rPr>
                <w:rFonts w:ascii="Arial" w:hAnsi="Arial" w:cs="Arial"/>
                <w:sz w:val="18"/>
                <w:szCs w:val="18"/>
              </w:rPr>
            </w:pPr>
          </w:p>
        </w:tc>
        <w:tc>
          <w:tcPr>
            <w:tcW w:w="539" w:type="pct"/>
            <w:shd w:val="clear" w:color="auto" w:fill="auto"/>
            <w:noWrap/>
            <w:vAlign w:val="center"/>
          </w:tcPr>
          <w:p w:rsidR="00A933E5" w:rsidRPr="00A933E5" w:rsidRDefault="00A933E5" w:rsidP="001F18F2">
            <w:pPr>
              <w:spacing w:after="0" w:line="240" w:lineRule="auto"/>
              <w:jc w:val="right"/>
              <w:rPr>
                <w:rFonts w:ascii="Arial" w:hAnsi="Arial" w:cs="Arial"/>
                <w:sz w:val="18"/>
                <w:szCs w:val="18"/>
              </w:rPr>
            </w:pPr>
          </w:p>
        </w:tc>
        <w:tc>
          <w:tcPr>
            <w:tcW w:w="539" w:type="pct"/>
            <w:shd w:val="clear" w:color="auto" w:fill="auto"/>
            <w:noWrap/>
            <w:vAlign w:val="center"/>
          </w:tcPr>
          <w:p w:rsidR="00A933E5" w:rsidRPr="00A933E5" w:rsidRDefault="00A933E5" w:rsidP="001F18F2">
            <w:pPr>
              <w:spacing w:after="0" w:line="240" w:lineRule="auto"/>
              <w:jc w:val="right"/>
              <w:rPr>
                <w:rFonts w:ascii="Arial" w:hAnsi="Arial" w:cs="Arial"/>
                <w:sz w:val="18"/>
                <w:szCs w:val="18"/>
              </w:rPr>
            </w:pPr>
          </w:p>
        </w:tc>
        <w:tc>
          <w:tcPr>
            <w:tcW w:w="497" w:type="pct"/>
            <w:vAlign w:val="center"/>
          </w:tcPr>
          <w:p w:rsidR="00A933E5" w:rsidRPr="00A933E5" w:rsidRDefault="00A933E5" w:rsidP="001F18F2">
            <w:pPr>
              <w:spacing w:after="0" w:line="240" w:lineRule="auto"/>
              <w:jc w:val="right"/>
              <w:rPr>
                <w:rFonts w:ascii="Arial" w:hAnsi="Arial" w:cs="Arial"/>
                <w:sz w:val="18"/>
                <w:szCs w:val="18"/>
              </w:rPr>
            </w:pPr>
          </w:p>
        </w:tc>
      </w:tr>
      <w:tr w:rsidR="00A933E5" w:rsidRPr="00A933E5" w:rsidTr="001F18F2">
        <w:trPr>
          <w:trHeight w:val="332"/>
        </w:trPr>
        <w:tc>
          <w:tcPr>
            <w:tcW w:w="2269" w:type="pct"/>
            <w:shd w:val="clear" w:color="auto" w:fill="auto"/>
            <w:noWrap/>
            <w:vAlign w:val="center"/>
          </w:tcPr>
          <w:p w:rsidR="00A933E5" w:rsidRPr="00A933E5" w:rsidRDefault="00A933E5" w:rsidP="001F18F2">
            <w:pPr>
              <w:spacing w:after="0" w:line="240" w:lineRule="auto"/>
              <w:ind w:firstLine="72"/>
              <w:rPr>
                <w:rFonts w:ascii="Arial" w:hAnsi="Arial" w:cs="Arial"/>
                <w:sz w:val="18"/>
                <w:szCs w:val="18"/>
              </w:rPr>
            </w:pPr>
            <w:r w:rsidRPr="00A933E5">
              <w:rPr>
                <w:rFonts w:ascii="Arial" w:hAnsi="Arial" w:cs="Arial"/>
                <w:sz w:val="18"/>
                <w:szCs w:val="18"/>
              </w:rPr>
              <w:t>GSYH (Milyar TL, Cari Fiyatlarla)</w:t>
            </w:r>
          </w:p>
        </w:tc>
        <w:tc>
          <w:tcPr>
            <w:tcW w:w="616" w:type="pct"/>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1.416</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1.559</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1.719</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1.895</w:t>
            </w:r>
          </w:p>
        </w:tc>
        <w:tc>
          <w:tcPr>
            <w:tcW w:w="497" w:type="pct"/>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2.095</w:t>
            </w:r>
          </w:p>
        </w:tc>
      </w:tr>
      <w:tr w:rsidR="00A933E5" w:rsidRPr="00A933E5" w:rsidTr="001F18F2">
        <w:trPr>
          <w:trHeight w:val="332"/>
        </w:trPr>
        <w:tc>
          <w:tcPr>
            <w:tcW w:w="2269" w:type="pct"/>
            <w:shd w:val="clear" w:color="auto" w:fill="auto"/>
            <w:noWrap/>
            <w:vAlign w:val="center"/>
          </w:tcPr>
          <w:p w:rsidR="00A933E5" w:rsidRPr="00A933E5" w:rsidRDefault="00A933E5" w:rsidP="001F18F2">
            <w:pPr>
              <w:spacing w:after="0" w:line="240" w:lineRule="auto"/>
              <w:ind w:firstLine="72"/>
              <w:rPr>
                <w:rFonts w:ascii="Arial" w:hAnsi="Arial" w:cs="Arial"/>
                <w:sz w:val="18"/>
                <w:szCs w:val="18"/>
              </w:rPr>
            </w:pPr>
            <w:r w:rsidRPr="00A933E5">
              <w:rPr>
                <w:rFonts w:ascii="Arial" w:hAnsi="Arial" w:cs="Arial"/>
                <w:sz w:val="18"/>
                <w:szCs w:val="18"/>
              </w:rPr>
              <w:t>GSYH (Milyar Dolar, Cari Fiyatlarla)</w:t>
            </w:r>
          </w:p>
        </w:tc>
        <w:tc>
          <w:tcPr>
            <w:tcW w:w="616" w:type="pct"/>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786</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823</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867</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928</w:t>
            </w:r>
          </w:p>
        </w:tc>
        <w:tc>
          <w:tcPr>
            <w:tcW w:w="497" w:type="pct"/>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996</w:t>
            </w:r>
          </w:p>
        </w:tc>
      </w:tr>
      <w:tr w:rsidR="00A933E5" w:rsidRPr="00A933E5" w:rsidTr="001F18F2">
        <w:trPr>
          <w:trHeight w:val="332"/>
        </w:trPr>
        <w:tc>
          <w:tcPr>
            <w:tcW w:w="2269" w:type="pct"/>
            <w:shd w:val="clear" w:color="auto" w:fill="auto"/>
            <w:noWrap/>
            <w:vAlign w:val="center"/>
          </w:tcPr>
          <w:p w:rsidR="00A933E5" w:rsidRPr="00A933E5" w:rsidRDefault="00A933E5" w:rsidP="001F18F2">
            <w:pPr>
              <w:spacing w:after="0" w:line="240" w:lineRule="auto"/>
              <w:ind w:firstLine="72"/>
              <w:rPr>
                <w:rFonts w:ascii="Arial" w:hAnsi="Arial" w:cs="Arial"/>
                <w:sz w:val="18"/>
                <w:szCs w:val="18"/>
              </w:rPr>
            </w:pPr>
            <w:r w:rsidRPr="00A933E5">
              <w:rPr>
                <w:rFonts w:ascii="Arial" w:hAnsi="Arial" w:cs="Arial"/>
                <w:sz w:val="18"/>
                <w:szCs w:val="18"/>
              </w:rPr>
              <w:t>Kişi Başına Milli Gelir (GSYH, Dolar)</w:t>
            </w:r>
          </w:p>
        </w:tc>
        <w:tc>
          <w:tcPr>
            <w:tcW w:w="616" w:type="pct"/>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10.497</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10.818</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11.277</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11.927</w:t>
            </w:r>
          </w:p>
        </w:tc>
        <w:tc>
          <w:tcPr>
            <w:tcW w:w="497" w:type="pct"/>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12.670</w:t>
            </w:r>
          </w:p>
        </w:tc>
      </w:tr>
      <w:tr w:rsidR="00A933E5" w:rsidRPr="00A933E5" w:rsidTr="001F18F2">
        <w:trPr>
          <w:trHeight w:val="332"/>
        </w:trPr>
        <w:tc>
          <w:tcPr>
            <w:tcW w:w="2269" w:type="pct"/>
            <w:shd w:val="clear" w:color="auto" w:fill="auto"/>
            <w:noWrap/>
            <w:vAlign w:val="center"/>
          </w:tcPr>
          <w:p w:rsidR="00A933E5" w:rsidRPr="00A933E5" w:rsidRDefault="00A933E5" w:rsidP="00821B22">
            <w:pPr>
              <w:spacing w:after="0" w:line="240" w:lineRule="auto"/>
              <w:rPr>
                <w:rFonts w:ascii="Arial" w:hAnsi="Arial" w:cs="Arial"/>
                <w:sz w:val="16"/>
                <w:szCs w:val="16"/>
              </w:rPr>
            </w:pPr>
            <w:r w:rsidRPr="00A933E5">
              <w:rPr>
                <w:rFonts w:ascii="Arial" w:hAnsi="Arial" w:cs="Arial"/>
                <w:sz w:val="16"/>
                <w:szCs w:val="16"/>
              </w:rPr>
              <w:t xml:space="preserve"> </w:t>
            </w:r>
            <w:r w:rsidRPr="00A933E5">
              <w:rPr>
                <w:rFonts w:ascii="Arial" w:hAnsi="Arial" w:cs="Arial"/>
                <w:sz w:val="18"/>
                <w:szCs w:val="16"/>
              </w:rPr>
              <w:t xml:space="preserve">GSYH Büyümesi </w:t>
            </w:r>
            <w:r w:rsidRPr="00A933E5">
              <w:rPr>
                <w:rFonts w:ascii="Arial" w:hAnsi="Arial" w:cs="Arial"/>
                <w:sz w:val="18"/>
                <w:szCs w:val="16"/>
                <w:vertAlign w:val="superscript"/>
              </w:rPr>
              <w:t>(3)</w:t>
            </w:r>
          </w:p>
        </w:tc>
        <w:tc>
          <w:tcPr>
            <w:tcW w:w="616" w:type="pct"/>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2,2</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3,6</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4,0</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5,0</w:t>
            </w:r>
          </w:p>
        </w:tc>
        <w:tc>
          <w:tcPr>
            <w:tcW w:w="497" w:type="pct"/>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5,0</w:t>
            </w:r>
          </w:p>
        </w:tc>
      </w:tr>
      <w:tr w:rsidR="00A933E5" w:rsidRPr="00A933E5" w:rsidTr="001F18F2">
        <w:trPr>
          <w:trHeight w:val="332"/>
        </w:trPr>
        <w:tc>
          <w:tcPr>
            <w:tcW w:w="2269" w:type="pct"/>
            <w:shd w:val="clear" w:color="auto" w:fill="auto"/>
            <w:noWrap/>
            <w:vAlign w:val="center"/>
          </w:tcPr>
          <w:p w:rsidR="00A933E5" w:rsidRPr="00A933E5" w:rsidRDefault="00A933E5" w:rsidP="001F18F2">
            <w:pPr>
              <w:spacing w:after="0" w:line="240" w:lineRule="auto"/>
              <w:ind w:firstLine="72"/>
              <w:rPr>
                <w:rFonts w:ascii="Arial" w:hAnsi="Arial" w:cs="Arial"/>
                <w:sz w:val="18"/>
                <w:szCs w:val="18"/>
              </w:rPr>
            </w:pPr>
            <w:r w:rsidRPr="00A933E5">
              <w:rPr>
                <w:rFonts w:ascii="Arial" w:hAnsi="Arial" w:cs="Arial"/>
                <w:sz w:val="18"/>
                <w:szCs w:val="18"/>
              </w:rPr>
              <w:t xml:space="preserve">Toplam Tüketim </w:t>
            </w:r>
            <w:r w:rsidRPr="00A933E5">
              <w:rPr>
                <w:rFonts w:ascii="Arial" w:hAnsi="Arial" w:cs="Arial"/>
                <w:sz w:val="18"/>
                <w:szCs w:val="16"/>
                <w:vertAlign w:val="superscript"/>
              </w:rPr>
              <w:t>(3)</w:t>
            </w:r>
          </w:p>
        </w:tc>
        <w:tc>
          <w:tcPr>
            <w:tcW w:w="616" w:type="pct"/>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0,2</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4,3</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3,2</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3,8</w:t>
            </w:r>
          </w:p>
        </w:tc>
        <w:tc>
          <w:tcPr>
            <w:tcW w:w="497" w:type="pct"/>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3,6</w:t>
            </w:r>
          </w:p>
        </w:tc>
      </w:tr>
      <w:tr w:rsidR="00A933E5" w:rsidRPr="00A933E5" w:rsidTr="001F18F2">
        <w:trPr>
          <w:trHeight w:val="332"/>
        </w:trPr>
        <w:tc>
          <w:tcPr>
            <w:tcW w:w="2269" w:type="pct"/>
            <w:shd w:val="clear" w:color="auto" w:fill="auto"/>
            <w:noWrap/>
            <w:vAlign w:val="center"/>
          </w:tcPr>
          <w:p w:rsidR="00A933E5" w:rsidRPr="00A933E5" w:rsidRDefault="00A933E5" w:rsidP="001F18F2">
            <w:pPr>
              <w:spacing w:after="0" w:line="240" w:lineRule="auto"/>
              <w:ind w:firstLine="72"/>
              <w:rPr>
                <w:rFonts w:ascii="Arial" w:hAnsi="Arial" w:cs="Arial"/>
                <w:sz w:val="18"/>
                <w:szCs w:val="18"/>
              </w:rPr>
            </w:pPr>
            <w:r w:rsidRPr="00A933E5">
              <w:rPr>
                <w:rFonts w:ascii="Arial" w:hAnsi="Arial" w:cs="Arial"/>
                <w:sz w:val="18"/>
                <w:szCs w:val="18"/>
              </w:rPr>
              <w:t xml:space="preserve">   Kamu</w:t>
            </w:r>
          </w:p>
        </w:tc>
        <w:tc>
          <w:tcPr>
            <w:tcW w:w="616" w:type="pct"/>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6,4</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7,8</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3,0</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3,3</w:t>
            </w:r>
          </w:p>
        </w:tc>
        <w:tc>
          <w:tcPr>
            <w:tcW w:w="497" w:type="pct"/>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4,2</w:t>
            </w:r>
          </w:p>
        </w:tc>
      </w:tr>
      <w:tr w:rsidR="00A933E5" w:rsidRPr="00A933E5" w:rsidTr="001F18F2">
        <w:trPr>
          <w:trHeight w:val="332"/>
        </w:trPr>
        <w:tc>
          <w:tcPr>
            <w:tcW w:w="2269" w:type="pct"/>
            <w:shd w:val="clear" w:color="auto" w:fill="auto"/>
            <w:noWrap/>
            <w:vAlign w:val="center"/>
          </w:tcPr>
          <w:p w:rsidR="00A933E5" w:rsidRPr="00A933E5" w:rsidRDefault="00A933E5" w:rsidP="001F18F2">
            <w:pPr>
              <w:spacing w:after="0" w:line="240" w:lineRule="auto"/>
              <w:ind w:firstLine="72"/>
              <w:rPr>
                <w:rFonts w:ascii="Arial" w:hAnsi="Arial" w:cs="Arial"/>
                <w:sz w:val="18"/>
                <w:szCs w:val="18"/>
              </w:rPr>
            </w:pPr>
            <w:r w:rsidRPr="00A933E5">
              <w:rPr>
                <w:rFonts w:ascii="Arial" w:hAnsi="Arial" w:cs="Arial"/>
                <w:sz w:val="18"/>
                <w:szCs w:val="18"/>
              </w:rPr>
              <w:t xml:space="preserve">   Özel</w:t>
            </w:r>
          </w:p>
        </w:tc>
        <w:tc>
          <w:tcPr>
            <w:tcW w:w="616" w:type="pct"/>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-0,5</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3,8</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3,2</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3,8</w:t>
            </w:r>
          </w:p>
        </w:tc>
        <w:tc>
          <w:tcPr>
            <w:tcW w:w="497" w:type="pct"/>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3,5</w:t>
            </w:r>
          </w:p>
        </w:tc>
      </w:tr>
      <w:tr w:rsidR="00A933E5" w:rsidRPr="00A933E5" w:rsidTr="001F18F2">
        <w:trPr>
          <w:trHeight w:val="332"/>
        </w:trPr>
        <w:tc>
          <w:tcPr>
            <w:tcW w:w="2269" w:type="pct"/>
            <w:shd w:val="clear" w:color="auto" w:fill="auto"/>
            <w:noWrap/>
            <w:vAlign w:val="center"/>
          </w:tcPr>
          <w:p w:rsidR="00A933E5" w:rsidRPr="00A933E5" w:rsidRDefault="00A933E5" w:rsidP="001F18F2">
            <w:pPr>
              <w:spacing w:after="0" w:line="240" w:lineRule="auto"/>
              <w:ind w:firstLine="72"/>
              <w:rPr>
                <w:rFonts w:ascii="Arial" w:hAnsi="Arial" w:cs="Arial"/>
                <w:sz w:val="18"/>
                <w:szCs w:val="18"/>
              </w:rPr>
            </w:pPr>
            <w:r w:rsidRPr="00A933E5">
              <w:rPr>
                <w:rFonts w:ascii="Arial" w:hAnsi="Arial" w:cs="Arial"/>
                <w:sz w:val="18"/>
                <w:szCs w:val="18"/>
              </w:rPr>
              <w:t xml:space="preserve">Toplam Sabit Sermaye Yatırımı </w:t>
            </w:r>
            <w:r w:rsidRPr="00A933E5">
              <w:rPr>
                <w:rFonts w:ascii="Arial" w:hAnsi="Arial" w:cs="Arial"/>
                <w:sz w:val="18"/>
                <w:szCs w:val="16"/>
                <w:vertAlign w:val="superscript"/>
              </w:rPr>
              <w:t>(3)</w:t>
            </w:r>
          </w:p>
        </w:tc>
        <w:tc>
          <w:tcPr>
            <w:tcW w:w="616" w:type="pct"/>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-2,2</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3,1</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3,6</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8,6</w:t>
            </w:r>
          </w:p>
        </w:tc>
        <w:tc>
          <w:tcPr>
            <w:tcW w:w="497" w:type="pct"/>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8,1</w:t>
            </w:r>
          </w:p>
        </w:tc>
      </w:tr>
      <w:tr w:rsidR="00A933E5" w:rsidRPr="00A933E5" w:rsidTr="001F18F2">
        <w:trPr>
          <w:trHeight w:val="332"/>
        </w:trPr>
        <w:tc>
          <w:tcPr>
            <w:tcW w:w="2269" w:type="pct"/>
            <w:shd w:val="clear" w:color="auto" w:fill="auto"/>
            <w:noWrap/>
            <w:vAlign w:val="center"/>
          </w:tcPr>
          <w:p w:rsidR="00A933E5" w:rsidRPr="00A933E5" w:rsidRDefault="00A933E5" w:rsidP="001F18F2">
            <w:pPr>
              <w:spacing w:after="0" w:line="240" w:lineRule="auto"/>
              <w:ind w:firstLine="72"/>
              <w:rPr>
                <w:rFonts w:ascii="Arial" w:hAnsi="Arial" w:cs="Arial"/>
                <w:sz w:val="18"/>
                <w:szCs w:val="18"/>
              </w:rPr>
            </w:pPr>
            <w:r w:rsidRPr="00A933E5">
              <w:rPr>
                <w:rFonts w:ascii="Arial" w:hAnsi="Arial" w:cs="Arial"/>
                <w:sz w:val="18"/>
                <w:szCs w:val="18"/>
              </w:rPr>
              <w:t xml:space="preserve">   Kamu</w:t>
            </w:r>
          </w:p>
        </w:tc>
        <w:tc>
          <w:tcPr>
            <w:tcW w:w="616" w:type="pct"/>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10,5</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19,5</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-3,5</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9,9</w:t>
            </w:r>
          </w:p>
        </w:tc>
        <w:tc>
          <w:tcPr>
            <w:tcW w:w="497" w:type="pct"/>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3,9</w:t>
            </w:r>
          </w:p>
        </w:tc>
      </w:tr>
      <w:tr w:rsidR="00A933E5" w:rsidRPr="00A933E5" w:rsidTr="001F18F2">
        <w:trPr>
          <w:trHeight w:val="332"/>
        </w:trPr>
        <w:tc>
          <w:tcPr>
            <w:tcW w:w="2269" w:type="pct"/>
            <w:shd w:val="clear" w:color="auto" w:fill="auto"/>
            <w:noWrap/>
            <w:vAlign w:val="center"/>
          </w:tcPr>
          <w:p w:rsidR="00A933E5" w:rsidRPr="00A933E5" w:rsidRDefault="00A933E5" w:rsidP="001F18F2">
            <w:pPr>
              <w:spacing w:after="0" w:line="240" w:lineRule="auto"/>
              <w:ind w:firstLine="72"/>
              <w:rPr>
                <w:rFonts w:ascii="Arial" w:hAnsi="Arial" w:cs="Arial"/>
                <w:sz w:val="18"/>
                <w:szCs w:val="18"/>
              </w:rPr>
            </w:pPr>
            <w:r w:rsidRPr="00A933E5">
              <w:rPr>
                <w:rFonts w:ascii="Arial" w:hAnsi="Arial" w:cs="Arial"/>
                <w:sz w:val="18"/>
                <w:szCs w:val="18"/>
              </w:rPr>
              <w:t xml:space="preserve">   Özel</w:t>
            </w:r>
          </w:p>
        </w:tc>
        <w:tc>
          <w:tcPr>
            <w:tcW w:w="616" w:type="pct"/>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-4,8</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-0,8</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5,7</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8,2</w:t>
            </w:r>
          </w:p>
        </w:tc>
        <w:tc>
          <w:tcPr>
            <w:tcW w:w="497" w:type="pct"/>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9,2</w:t>
            </w:r>
          </w:p>
        </w:tc>
      </w:tr>
      <w:tr w:rsidR="00A933E5" w:rsidRPr="00A933E5" w:rsidTr="001F18F2">
        <w:trPr>
          <w:trHeight w:val="332"/>
        </w:trPr>
        <w:tc>
          <w:tcPr>
            <w:tcW w:w="2269" w:type="pct"/>
            <w:shd w:val="clear" w:color="auto" w:fill="auto"/>
            <w:noWrap/>
            <w:vAlign w:val="center"/>
          </w:tcPr>
          <w:p w:rsidR="00A933E5" w:rsidRPr="00A933E5" w:rsidRDefault="00A933E5" w:rsidP="001F18F2">
            <w:pPr>
              <w:spacing w:after="0" w:line="240" w:lineRule="auto"/>
              <w:ind w:firstLine="72"/>
              <w:rPr>
                <w:rFonts w:ascii="Arial" w:hAnsi="Arial" w:cs="Arial"/>
                <w:sz w:val="18"/>
                <w:szCs w:val="18"/>
              </w:rPr>
            </w:pPr>
            <w:r w:rsidRPr="00A933E5">
              <w:rPr>
                <w:rFonts w:ascii="Arial" w:hAnsi="Arial" w:cs="Arial"/>
                <w:sz w:val="18"/>
                <w:szCs w:val="18"/>
              </w:rPr>
              <w:t>Toplam Yurt</w:t>
            </w:r>
            <w:r w:rsidR="00994C34">
              <w:rPr>
                <w:rFonts w:ascii="Arial" w:hAnsi="Arial" w:cs="Arial"/>
                <w:sz w:val="18"/>
                <w:szCs w:val="18"/>
              </w:rPr>
              <w:t xml:space="preserve"> </w:t>
            </w:r>
            <w:r w:rsidRPr="00A933E5">
              <w:rPr>
                <w:rFonts w:ascii="Arial" w:hAnsi="Arial" w:cs="Arial"/>
                <w:sz w:val="18"/>
                <w:szCs w:val="18"/>
              </w:rPr>
              <w:t xml:space="preserve">içi Tasarruf / GSYH </w:t>
            </w:r>
          </w:p>
        </w:tc>
        <w:tc>
          <w:tcPr>
            <w:tcW w:w="616" w:type="pct"/>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14,5</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12,6</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13,8</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14,9</w:t>
            </w:r>
          </w:p>
        </w:tc>
        <w:tc>
          <w:tcPr>
            <w:tcW w:w="497" w:type="pct"/>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16,0</w:t>
            </w:r>
          </w:p>
        </w:tc>
      </w:tr>
      <w:tr w:rsidR="00A933E5" w:rsidRPr="00A933E5" w:rsidTr="001F18F2">
        <w:trPr>
          <w:trHeight w:val="332"/>
        </w:trPr>
        <w:tc>
          <w:tcPr>
            <w:tcW w:w="2269" w:type="pct"/>
            <w:shd w:val="clear" w:color="auto" w:fill="auto"/>
            <w:noWrap/>
            <w:vAlign w:val="center"/>
          </w:tcPr>
          <w:p w:rsidR="00A933E5" w:rsidRPr="00A933E5" w:rsidRDefault="00A933E5" w:rsidP="001F18F2">
            <w:pPr>
              <w:spacing w:after="0" w:line="240" w:lineRule="auto"/>
              <w:ind w:firstLine="72"/>
              <w:rPr>
                <w:rFonts w:ascii="Arial" w:hAnsi="Arial" w:cs="Arial"/>
                <w:sz w:val="18"/>
                <w:szCs w:val="18"/>
              </w:rPr>
            </w:pPr>
            <w:r w:rsidRPr="00A933E5">
              <w:rPr>
                <w:rFonts w:ascii="Arial" w:hAnsi="Arial" w:cs="Arial"/>
                <w:sz w:val="18"/>
                <w:szCs w:val="18"/>
              </w:rPr>
              <w:t xml:space="preserve">   Kamu</w:t>
            </w:r>
          </w:p>
        </w:tc>
        <w:tc>
          <w:tcPr>
            <w:tcW w:w="616" w:type="pct"/>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2,9</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2,9</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2,4</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3,0</w:t>
            </w:r>
          </w:p>
        </w:tc>
        <w:tc>
          <w:tcPr>
            <w:tcW w:w="497" w:type="pct"/>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3,4</w:t>
            </w:r>
          </w:p>
        </w:tc>
      </w:tr>
      <w:tr w:rsidR="00A933E5" w:rsidRPr="00A933E5" w:rsidTr="001F18F2">
        <w:trPr>
          <w:trHeight w:val="332"/>
        </w:trPr>
        <w:tc>
          <w:tcPr>
            <w:tcW w:w="2269" w:type="pct"/>
            <w:shd w:val="clear" w:color="auto" w:fill="auto"/>
            <w:noWrap/>
            <w:vAlign w:val="center"/>
          </w:tcPr>
          <w:p w:rsidR="00A933E5" w:rsidRPr="00A933E5" w:rsidRDefault="00A933E5" w:rsidP="001F18F2">
            <w:pPr>
              <w:spacing w:after="0" w:line="240" w:lineRule="auto"/>
              <w:ind w:firstLine="72"/>
              <w:rPr>
                <w:rFonts w:ascii="Arial" w:hAnsi="Arial" w:cs="Arial"/>
                <w:sz w:val="18"/>
                <w:szCs w:val="18"/>
              </w:rPr>
            </w:pPr>
            <w:r w:rsidRPr="00A933E5">
              <w:rPr>
                <w:rFonts w:ascii="Arial" w:hAnsi="Arial" w:cs="Arial"/>
                <w:sz w:val="18"/>
                <w:szCs w:val="18"/>
              </w:rPr>
              <w:t xml:space="preserve">   Özel</w:t>
            </w:r>
          </w:p>
        </w:tc>
        <w:tc>
          <w:tcPr>
            <w:tcW w:w="616" w:type="pct"/>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11,6</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9,7</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11,4</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11,9</w:t>
            </w:r>
          </w:p>
        </w:tc>
        <w:tc>
          <w:tcPr>
            <w:tcW w:w="497" w:type="pct"/>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12,7</w:t>
            </w:r>
          </w:p>
        </w:tc>
      </w:tr>
      <w:tr w:rsidR="00A933E5" w:rsidRPr="00A933E5" w:rsidTr="001F18F2">
        <w:trPr>
          <w:trHeight w:val="332"/>
        </w:trPr>
        <w:tc>
          <w:tcPr>
            <w:tcW w:w="2269" w:type="pct"/>
            <w:shd w:val="clear" w:color="auto" w:fill="auto"/>
            <w:noWrap/>
            <w:vAlign w:val="center"/>
          </w:tcPr>
          <w:p w:rsidR="00A933E5" w:rsidRPr="00A933E5" w:rsidRDefault="00A933E5" w:rsidP="001F18F2">
            <w:pPr>
              <w:spacing w:after="0" w:line="240" w:lineRule="auto"/>
              <w:ind w:firstLine="72"/>
              <w:rPr>
                <w:rFonts w:ascii="Arial" w:hAnsi="Arial" w:cs="Arial"/>
                <w:sz w:val="18"/>
                <w:szCs w:val="18"/>
              </w:rPr>
            </w:pPr>
            <w:r w:rsidRPr="00A933E5">
              <w:rPr>
                <w:rFonts w:ascii="Arial" w:hAnsi="Arial" w:cs="Arial"/>
                <w:sz w:val="18"/>
                <w:szCs w:val="18"/>
              </w:rPr>
              <w:t>Toplam Nihai Yurt</w:t>
            </w:r>
            <w:r w:rsidR="00994C34">
              <w:rPr>
                <w:rFonts w:ascii="Arial" w:hAnsi="Arial" w:cs="Arial"/>
                <w:sz w:val="18"/>
                <w:szCs w:val="18"/>
              </w:rPr>
              <w:t xml:space="preserve"> </w:t>
            </w:r>
            <w:r w:rsidRPr="00A933E5">
              <w:rPr>
                <w:rFonts w:ascii="Arial" w:hAnsi="Arial" w:cs="Arial"/>
                <w:sz w:val="18"/>
                <w:szCs w:val="18"/>
              </w:rPr>
              <w:t xml:space="preserve">içi Talep </w:t>
            </w:r>
            <w:r w:rsidRPr="00A933E5">
              <w:rPr>
                <w:rFonts w:ascii="Arial" w:hAnsi="Arial" w:cs="Arial"/>
                <w:sz w:val="18"/>
                <w:szCs w:val="16"/>
                <w:vertAlign w:val="superscript"/>
              </w:rPr>
              <w:t>(3)</w:t>
            </w:r>
          </w:p>
        </w:tc>
        <w:tc>
          <w:tcPr>
            <w:tcW w:w="616" w:type="pct"/>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-0,4</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4,0</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3,3</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5,0</w:t>
            </w:r>
          </w:p>
        </w:tc>
        <w:tc>
          <w:tcPr>
            <w:tcW w:w="497" w:type="pct"/>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4,7</w:t>
            </w:r>
          </w:p>
        </w:tc>
      </w:tr>
      <w:tr w:rsidR="00A933E5" w:rsidRPr="00A933E5" w:rsidTr="001F18F2">
        <w:trPr>
          <w:trHeight w:val="332"/>
        </w:trPr>
        <w:tc>
          <w:tcPr>
            <w:tcW w:w="2269" w:type="pct"/>
            <w:shd w:val="clear" w:color="auto" w:fill="auto"/>
            <w:noWrap/>
            <w:vAlign w:val="center"/>
          </w:tcPr>
          <w:p w:rsidR="00A933E5" w:rsidRPr="00A933E5" w:rsidRDefault="00A933E5" w:rsidP="001F18F2">
            <w:pPr>
              <w:spacing w:after="0" w:line="240" w:lineRule="auto"/>
              <w:ind w:firstLine="72"/>
              <w:rPr>
                <w:rFonts w:ascii="Arial" w:hAnsi="Arial" w:cs="Arial"/>
                <w:sz w:val="18"/>
                <w:szCs w:val="18"/>
              </w:rPr>
            </w:pPr>
            <w:r w:rsidRPr="00A933E5">
              <w:rPr>
                <w:rFonts w:ascii="Arial" w:hAnsi="Arial" w:cs="Arial"/>
                <w:sz w:val="18"/>
                <w:szCs w:val="18"/>
              </w:rPr>
              <w:t>Toplam Yurt</w:t>
            </w:r>
            <w:r w:rsidR="00994C34">
              <w:rPr>
                <w:rFonts w:ascii="Arial" w:hAnsi="Arial" w:cs="Arial"/>
                <w:sz w:val="18"/>
                <w:szCs w:val="18"/>
              </w:rPr>
              <w:t xml:space="preserve"> </w:t>
            </w:r>
            <w:r w:rsidRPr="00A933E5">
              <w:rPr>
                <w:rFonts w:ascii="Arial" w:hAnsi="Arial" w:cs="Arial"/>
                <w:sz w:val="18"/>
                <w:szCs w:val="18"/>
              </w:rPr>
              <w:t xml:space="preserve">içi Talep </w:t>
            </w:r>
            <w:r w:rsidRPr="00A933E5">
              <w:rPr>
                <w:rFonts w:ascii="Arial" w:hAnsi="Arial" w:cs="Arial"/>
                <w:sz w:val="18"/>
                <w:szCs w:val="16"/>
                <w:vertAlign w:val="superscript"/>
              </w:rPr>
              <w:t>(3)</w:t>
            </w:r>
          </w:p>
        </w:tc>
        <w:tc>
          <w:tcPr>
            <w:tcW w:w="616" w:type="pct"/>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-1,8</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5,1</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3,2</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5,0</w:t>
            </w:r>
          </w:p>
        </w:tc>
        <w:tc>
          <w:tcPr>
            <w:tcW w:w="497" w:type="pct"/>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4,8</w:t>
            </w:r>
          </w:p>
        </w:tc>
      </w:tr>
      <w:tr w:rsidR="00A933E5" w:rsidRPr="00A933E5" w:rsidTr="001F18F2">
        <w:trPr>
          <w:trHeight w:val="332"/>
        </w:trPr>
        <w:tc>
          <w:tcPr>
            <w:tcW w:w="2269" w:type="pct"/>
            <w:shd w:val="clear" w:color="auto" w:fill="auto"/>
            <w:noWrap/>
            <w:vAlign w:val="center"/>
          </w:tcPr>
          <w:p w:rsidR="00A933E5" w:rsidRPr="00A933E5" w:rsidRDefault="00A933E5" w:rsidP="001F18F2">
            <w:pPr>
              <w:spacing w:after="0" w:line="240" w:lineRule="auto"/>
              <w:ind w:firstLine="72"/>
              <w:rPr>
                <w:rFonts w:ascii="Arial" w:hAnsi="Arial" w:cs="Arial"/>
                <w:sz w:val="18"/>
                <w:szCs w:val="18"/>
              </w:rPr>
            </w:pPr>
            <w:r w:rsidRPr="00A933E5">
              <w:rPr>
                <w:rFonts w:ascii="Arial" w:hAnsi="Arial" w:cs="Arial"/>
                <w:b/>
                <w:bCs/>
                <w:sz w:val="18"/>
                <w:szCs w:val="18"/>
              </w:rPr>
              <w:t>İSTİHDAM</w:t>
            </w:r>
          </w:p>
        </w:tc>
        <w:tc>
          <w:tcPr>
            <w:tcW w:w="616" w:type="pct"/>
            <w:vAlign w:val="center"/>
          </w:tcPr>
          <w:p w:rsidR="00A933E5" w:rsidRPr="00A933E5" w:rsidRDefault="00A933E5" w:rsidP="001F18F2">
            <w:pPr>
              <w:spacing w:after="0" w:line="240" w:lineRule="auto"/>
              <w:ind w:hanging="7"/>
              <w:jc w:val="right"/>
              <w:rPr>
                <w:rFonts w:ascii="Arial" w:hAnsi="Arial" w:cs="Arial"/>
                <w:sz w:val="18"/>
                <w:szCs w:val="18"/>
              </w:rPr>
            </w:pP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p>
        </w:tc>
        <w:tc>
          <w:tcPr>
            <w:tcW w:w="497" w:type="pct"/>
            <w:vAlign w:val="center"/>
          </w:tcPr>
          <w:p w:rsidR="00A933E5" w:rsidRPr="00A933E5" w:rsidRDefault="00A933E5" w:rsidP="001F18F2">
            <w:pPr>
              <w:spacing w:after="0" w:line="240" w:lineRule="auto"/>
              <w:ind w:hanging="18"/>
              <w:jc w:val="right"/>
              <w:rPr>
                <w:rFonts w:ascii="Arial" w:hAnsi="Arial" w:cs="Arial"/>
                <w:sz w:val="18"/>
                <w:szCs w:val="18"/>
              </w:rPr>
            </w:pPr>
          </w:p>
        </w:tc>
      </w:tr>
      <w:tr w:rsidR="00A933E5" w:rsidRPr="00A933E5" w:rsidTr="001F18F2">
        <w:trPr>
          <w:trHeight w:val="332"/>
        </w:trPr>
        <w:tc>
          <w:tcPr>
            <w:tcW w:w="2269" w:type="pct"/>
            <w:shd w:val="clear" w:color="auto" w:fill="auto"/>
            <w:noWrap/>
            <w:vAlign w:val="center"/>
          </w:tcPr>
          <w:p w:rsidR="00A933E5" w:rsidRPr="00A933E5" w:rsidRDefault="00A933E5" w:rsidP="001F18F2">
            <w:pPr>
              <w:spacing w:after="0" w:line="240" w:lineRule="auto"/>
              <w:ind w:firstLine="72"/>
              <w:rPr>
                <w:rFonts w:ascii="Arial" w:hAnsi="Arial" w:cs="Arial"/>
                <w:sz w:val="18"/>
                <w:szCs w:val="18"/>
              </w:rPr>
            </w:pPr>
            <w:r w:rsidRPr="00A933E5">
              <w:rPr>
                <w:rFonts w:ascii="Arial" w:hAnsi="Arial" w:cs="Arial"/>
                <w:sz w:val="18"/>
                <w:szCs w:val="18"/>
              </w:rPr>
              <w:t>Nüfus (Yıl Ortası, Bin Kişi)</w:t>
            </w:r>
          </w:p>
        </w:tc>
        <w:tc>
          <w:tcPr>
            <w:tcW w:w="616" w:type="pct"/>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74.855</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76.055</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76.911</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77.770</w:t>
            </w:r>
          </w:p>
        </w:tc>
        <w:tc>
          <w:tcPr>
            <w:tcW w:w="497" w:type="pct"/>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78.632</w:t>
            </w:r>
          </w:p>
        </w:tc>
      </w:tr>
      <w:tr w:rsidR="00A933E5" w:rsidRPr="00A933E5" w:rsidTr="001F18F2">
        <w:trPr>
          <w:trHeight w:val="332"/>
        </w:trPr>
        <w:tc>
          <w:tcPr>
            <w:tcW w:w="2269" w:type="pct"/>
            <w:shd w:val="clear" w:color="auto" w:fill="auto"/>
            <w:noWrap/>
            <w:vAlign w:val="center"/>
          </w:tcPr>
          <w:p w:rsidR="00A933E5" w:rsidRPr="00A933E5" w:rsidRDefault="00A933E5" w:rsidP="001F18F2">
            <w:pPr>
              <w:spacing w:after="0" w:line="240" w:lineRule="auto"/>
              <w:ind w:firstLine="72"/>
              <w:rPr>
                <w:rFonts w:ascii="Arial" w:hAnsi="Arial" w:cs="Arial"/>
                <w:sz w:val="18"/>
                <w:szCs w:val="18"/>
              </w:rPr>
            </w:pPr>
            <w:r w:rsidRPr="00A933E5">
              <w:rPr>
                <w:rFonts w:ascii="Arial" w:hAnsi="Arial" w:cs="Arial"/>
                <w:sz w:val="18"/>
                <w:szCs w:val="18"/>
              </w:rPr>
              <w:t>İşgücüne Katılma Oranı (%)</w:t>
            </w:r>
          </w:p>
        </w:tc>
        <w:tc>
          <w:tcPr>
            <w:tcW w:w="616" w:type="pct"/>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50,0</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51,0</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51,3</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51,6</w:t>
            </w:r>
          </w:p>
        </w:tc>
        <w:tc>
          <w:tcPr>
            <w:tcW w:w="497" w:type="pct"/>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51,9</w:t>
            </w:r>
          </w:p>
        </w:tc>
      </w:tr>
      <w:tr w:rsidR="00A933E5" w:rsidRPr="00A933E5" w:rsidTr="001F18F2">
        <w:trPr>
          <w:trHeight w:val="332"/>
        </w:trPr>
        <w:tc>
          <w:tcPr>
            <w:tcW w:w="2269" w:type="pct"/>
            <w:shd w:val="clear" w:color="auto" w:fill="auto"/>
            <w:noWrap/>
            <w:vAlign w:val="center"/>
          </w:tcPr>
          <w:p w:rsidR="00A933E5" w:rsidRPr="00A933E5" w:rsidRDefault="00A933E5" w:rsidP="001F18F2">
            <w:pPr>
              <w:spacing w:after="0" w:line="240" w:lineRule="auto"/>
              <w:ind w:firstLine="72"/>
              <w:rPr>
                <w:rFonts w:ascii="Arial" w:hAnsi="Arial" w:cs="Arial"/>
                <w:sz w:val="18"/>
                <w:szCs w:val="18"/>
              </w:rPr>
            </w:pPr>
            <w:r w:rsidRPr="00A933E5">
              <w:rPr>
                <w:rFonts w:ascii="Arial" w:hAnsi="Arial" w:cs="Arial"/>
                <w:sz w:val="18"/>
                <w:szCs w:val="18"/>
              </w:rPr>
              <w:t>İstihdam Düzeyi (Bin Kişi)</w:t>
            </w:r>
          </w:p>
        </w:tc>
        <w:tc>
          <w:tcPr>
            <w:tcW w:w="616" w:type="pct"/>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24.821</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25.692</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26.257</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26.901</w:t>
            </w:r>
          </w:p>
        </w:tc>
        <w:tc>
          <w:tcPr>
            <w:tcW w:w="497" w:type="pct"/>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27.525</w:t>
            </w:r>
          </w:p>
        </w:tc>
      </w:tr>
      <w:tr w:rsidR="00A933E5" w:rsidRPr="00A933E5" w:rsidTr="001F18F2">
        <w:trPr>
          <w:trHeight w:val="332"/>
        </w:trPr>
        <w:tc>
          <w:tcPr>
            <w:tcW w:w="2269" w:type="pct"/>
            <w:shd w:val="clear" w:color="auto" w:fill="auto"/>
            <w:noWrap/>
            <w:vAlign w:val="center"/>
          </w:tcPr>
          <w:p w:rsidR="00A933E5" w:rsidRPr="00A933E5" w:rsidRDefault="00A933E5" w:rsidP="001F18F2">
            <w:pPr>
              <w:spacing w:after="0" w:line="240" w:lineRule="auto"/>
              <w:ind w:firstLine="72"/>
              <w:rPr>
                <w:rFonts w:ascii="Arial" w:hAnsi="Arial" w:cs="Arial"/>
                <w:sz w:val="18"/>
                <w:szCs w:val="18"/>
              </w:rPr>
            </w:pPr>
            <w:r w:rsidRPr="00A933E5">
              <w:rPr>
                <w:rFonts w:ascii="Arial" w:hAnsi="Arial" w:cs="Arial"/>
                <w:sz w:val="18"/>
                <w:szCs w:val="18"/>
              </w:rPr>
              <w:t>İstihdam Oranı (%)</w:t>
            </w:r>
          </w:p>
        </w:tc>
        <w:tc>
          <w:tcPr>
            <w:tcW w:w="616" w:type="pct"/>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45,4</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46,2</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46,5</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46,9</w:t>
            </w:r>
          </w:p>
        </w:tc>
        <w:tc>
          <w:tcPr>
            <w:tcW w:w="497" w:type="pct"/>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47,3</w:t>
            </w:r>
          </w:p>
        </w:tc>
      </w:tr>
      <w:tr w:rsidR="00A933E5" w:rsidRPr="00A933E5" w:rsidTr="001F18F2">
        <w:trPr>
          <w:trHeight w:val="332"/>
        </w:trPr>
        <w:tc>
          <w:tcPr>
            <w:tcW w:w="2269" w:type="pct"/>
            <w:shd w:val="clear" w:color="auto" w:fill="auto"/>
            <w:noWrap/>
            <w:vAlign w:val="center"/>
          </w:tcPr>
          <w:p w:rsidR="00A933E5" w:rsidRPr="00A933E5" w:rsidRDefault="00A933E5" w:rsidP="001F18F2">
            <w:pPr>
              <w:spacing w:after="0" w:line="240" w:lineRule="auto"/>
              <w:ind w:firstLine="72"/>
              <w:rPr>
                <w:rFonts w:ascii="Arial" w:hAnsi="Arial" w:cs="Arial"/>
                <w:sz w:val="18"/>
                <w:szCs w:val="18"/>
              </w:rPr>
            </w:pPr>
            <w:r w:rsidRPr="00A933E5">
              <w:rPr>
                <w:rFonts w:ascii="Arial" w:hAnsi="Arial" w:cs="Arial"/>
                <w:sz w:val="18"/>
                <w:szCs w:val="18"/>
              </w:rPr>
              <w:t>İşsizlik Oranı (%)</w:t>
            </w:r>
          </w:p>
        </w:tc>
        <w:tc>
          <w:tcPr>
            <w:tcW w:w="616" w:type="pct"/>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9,2</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9,5</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9,4</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9,2</w:t>
            </w:r>
          </w:p>
        </w:tc>
        <w:tc>
          <w:tcPr>
            <w:tcW w:w="497" w:type="pct"/>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8,9</w:t>
            </w:r>
          </w:p>
        </w:tc>
      </w:tr>
      <w:tr w:rsidR="00A933E5" w:rsidRPr="00A933E5" w:rsidTr="001F18F2">
        <w:trPr>
          <w:trHeight w:val="332"/>
        </w:trPr>
        <w:tc>
          <w:tcPr>
            <w:tcW w:w="2269" w:type="pct"/>
            <w:shd w:val="clear" w:color="auto" w:fill="auto"/>
            <w:noWrap/>
            <w:vAlign w:val="center"/>
          </w:tcPr>
          <w:p w:rsidR="00A933E5" w:rsidRPr="00A933E5" w:rsidRDefault="00A933E5" w:rsidP="001F18F2">
            <w:pPr>
              <w:spacing w:after="0" w:line="240" w:lineRule="auto"/>
              <w:ind w:firstLine="72"/>
              <w:rPr>
                <w:rFonts w:ascii="Arial" w:hAnsi="Arial" w:cs="Arial"/>
                <w:b/>
                <w:bCs/>
                <w:sz w:val="18"/>
                <w:szCs w:val="18"/>
              </w:rPr>
            </w:pPr>
            <w:r w:rsidRPr="00A933E5">
              <w:rPr>
                <w:rFonts w:ascii="Arial" w:hAnsi="Arial" w:cs="Arial"/>
                <w:b/>
                <w:bCs/>
                <w:sz w:val="18"/>
                <w:szCs w:val="18"/>
              </w:rPr>
              <w:t>DIŞ TİCARET</w:t>
            </w:r>
          </w:p>
        </w:tc>
        <w:tc>
          <w:tcPr>
            <w:tcW w:w="616" w:type="pct"/>
            <w:vAlign w:val="center"/>
          </w:tcPr>
          <w:p w:rsidR="00A933E5" w:rsidRPr="00A933E5" w:rsidRDefault="00A933E5" w:rsidP="001F18F2">
            <w:pPr>
              <w:spacing w:after="0" w:line="240" w:lineRule="auto"/>
              <w:ind w:hanging="7"/>
              <w:jc w:val="right"/>
              <w:rPr>
                <w:rFonts w:ascii="Arial" w:hAnsi="Arial" w:cs="Arial"/>
                <w:sz w:val="18"/>
                <w:szCs w:val="18"/>
              </w:rPr>
            </w:pP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p>
        </w:tc>
        <w:tc>
          <w:tcPr>
            <w:tcW w:w="497" w:type="pct"/>
            <w:vAlign w:val="center"/>
          </w:tcPr>
          <w:p w:rsidR="00A933E5" w:rsidRPr="00A933E5" w:rsidRDefault="00A933E5" w:rsidP="001F18F2">
            <w:pPr>
              <w:spacing w:after="0" w:line="240" w:lineRule="auto"/>
              <w:ind w:hanging="18"/>
              <w:jc w:val="right"/>
              <w:rPr>
                <w:rFonts w:ascii="Arial" w:hAnsi="Arial" w:cs="Arial"/>
                <w:sz w:val="18"/>
                <w:szCs w:val="18"/>
              </w:rPr>
            </w:pPr>
          </w:p>
        </w:tc>
      </w:tr>
      <w:tr w:rsidR="00A933E5" w:rsidRPr="00A933E5" w:rsidTr="001F18F2">
        <w:trPr>
          <w:trHeight w:val="332"/>
        </w:trPr>
        <w:tc>
          <w:tcPr>
            <w:tcW w:w="2269" w:type="pct"/>
            <w:shd w:val="clear" w:color="auto" w:fill="auto"/>
            <w:noWrap/>
            <w:vAlign w:val="center"/>
          </w:tcPr>
          <w:p w:rsidR="00A933E5" w:rsidRPr="00A933E5" w:rsidRDefault="00A933E5" w:rsidP="001F18F2">
            <w:pPr>
              <w:spacing w:after="0" w:line="240" w:lineRule="auto"/>
              <w:ind w:firstLine="72"/>
              <w:rPr>
                <w:rFonts w:ascii="Arial" w:hAnsi="Arial" w:cs="Arial"/>
                <w:sz w:val="18"/>
                <w:szCs w:val="18"/>
              </w:rPr>
            </w:pPr>
            <w:r w:rsidRPr="00A933E5">
              <w:rPr>
                <w:rFonts w:ascii="Arial" w:hAnsi="Arial" w:cs="Arial"/>
                <w:sz w:val="18"/>
                <w:szCs w:val="18"/>
              </w:rPr>
              <w:t>İhracat (fob) (Milyar Dolar)</w:t>
            </w:r>
          </w:p>
        </w:tc>
        <w:tc>
          <w:tcPr>
            <w:tcW w:w="616" w:type="pct"/>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152,5</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153,5</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166,5</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184,0</w:t>
            </w:r>
          </w:p>
        </w:tc>
        <w:tc>
          <w:tcPr>
            <w:tcW w:w="497" w:type="pct"/>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202,5</w:t>
            </w:r>
          </w:p>
        </w:tc>
      </w:tr>
      <w:tr w:rsidR="00A933E5" w:rsidRPr="00A933E5" w:rsidTr="001F18F2">
        <w:trPr>
          <w:trHeight w:val="332"/>
        </w:trPr>
        <w:tc>
          <w:tcPr>
            <w:tcW w:w="2269" w:type="pct"/>
            <w:shd w:val="clear" w:color="auto" w:fill="auto"/>
            <w:noWrap/>
            <w:vAlign w:val="center"/>
          </w:tcPr>
          <w:p w:rsidR="00A933E5" w:rsidRPr="00A933E5" w:rsidRDefault="00A933E5" w:rsidP="001F18F2">
            <w:pPr>
              <w:spacing w:after="0" w:line="240" w:lineRule="auto"/>
              <w:ind w:firstLine="72"/>
              <w:rPr>
                <w:rFonts w:ascii="Arial" w:hAnsi="Arial" w:cs="Arial"/>
                <w:sz w:val="18"/>
                <w:szCs w:val="18"/>
              </w:rPr>
            </w:pPr>
            <w:r w:rsidRPr="00A933E5">
              <w:rPr>
                <w:rFonts w:ascii="Arial" w:hAnsi="Arial" w:cs="Arial"/>
                <w:sz w:val="18"/>
                <w:szCs w:val="18"/>
              </w:rPr>
              <w:t>İthalat (cif) (Milyar Dolar)</w:t>
            </w:r>
          </w:p>
        </w:tc>
        <w:tc>
          <w:tcPr>
            <w:tcW w:w="616" w:type="pct"/>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236,5</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251,5</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262,0</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282,0</w:t>
            </w:r>
          </w:p>
        </w:tc>
        <w:tc>
          <w:tcPr>
            <w:tcW w:w="497" w:type="pct"/>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305,0</w:t>
            </w:r>
          </w:p>
        </w:tc>
      </w:tr>
      <w:tr w:rsidR="00A933E5" w:rsidRPr="00A933E5" w:rsidTr="001F18F2">
        <w:trPr>
          <w:trHeight w:val="332"/>
        </w:trPr>
        <w:tc>
          <w:tcPr>
            <w:tcW w:w="2269" w:type="pct"/>
            <w:shd w:val="clear" w:color="auto" w:fill="auto"/>
            <w:noWrap/>
            <w:vAlign w:val="center"/>
          </w:tcPr>
          <w:p w:rsidR="00A933E5" w:rsidRPr="00A933E5" w:rsidRDefault="00A933E5" w:rsidP="001F18F2">
            <w:pPr>
              <w:spacing w:after="0" w:line="240" w:lineRule="auto"/>
              <w:ind w:firstLine="72"/>
              <w:rPr>
                <w:rFonts w:ascii="Arial" w:hAnsi="Arial" w:cs="Arial"/>
                <w:sz w:val="18"/>
                <w:szCs w:val="18"/>
              </w:rPr>
            </w:pPr>
            <w:r w:rsidRPr="00A933E5">
              <w:rPr>
                <w:rFonts w:ascii="Arial" w:hAnsi="Arial" w:cs="Arial"/>
                <w:sz w:val="18"/>
                <w:szCs w:val="18"/>
              </w:rPr>
              <w:t>Ham Petrol Fiyatı-</w:t>
            </w:r>
            <w:proofErr w:type="spellStart"/>
            <w:r w:rsidRPr="00A933E5">
              <w:rPr>
                <w:rFonts w:ascii="Arial" w:hAnsi="Arial" w:cs="Arial"/>
                <w:sz w:val="18"/>
                <w:szCs w:val="18"/>
              </w:rPr>
              <w:t>Brent</w:t>
            </w:r>
            <w:proofErr w:type="spellEnd"/>
            <w:r w:rsidRPr="00A933E5">
              <w:rPr>
                <w:rFonts w:ascii="Arial" w:hAnsi="Arial" w:cs="Arial"/>
                <w:sz w:val="18"/>
                <w:szCs w:val="18"/>
              </w:rPr>
              <w:t xml:space="preserve"> (Dolar/Varil) </w:t>
            </w:r>
          </w:p>
        </w:tc>
        <w:tc>
          <w:tcPr>
            <w:tcW w:w="616" w:type="pct"/>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112,0</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108,8</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103,2</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97,6</w:t>
            </w:r>
          </w:p>
        </w:tc>
        <w:tc>
          <w:tcPr>
            <w:tcW w:w="497" w:type="pct"/>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93,1</w:t>
            </w:r>
          </w:p>
        </w:tc>
      </w:tr>
      <w:tr w:rsidR="00A933E5" w:rsidRPr="00A933E5" w:rsidTr="001F18F2">
        <w:trPr>
          <w:trHeight w:val="332"/>
        </w:trPr>
        <w:tc>
          <w:tcPr>
            <w:tcW w:w="2269" w:type="pct"/>
            <w:shd w:val="clear" w:color="auto" w:fill="auto"/>
            <w:noWrap/>
            <w:vAlign w:val="center"/>
          </w:tcPr>
          <w:p w:rsidR="00A933E5" w:rsidRPr="00A933E5" w:rsidRDefault="00A933E5" w:rsidP="00821B22">
            <w:pPr>
              <w:spacing w:after="0" w:line="240" w:lineRule="auto"/>
              <w:ind w:left="142" w:hanging="142"/>
              <w:rPr>
                <w:rFonts w:ascii="Arial" w:hAnsi="Arial" w:cs="Arial"/>
                <w:sz w:val="18"/>
                <w:szCs w:val="18"/>
              </w:rPr>
            </w:pPr>
            <w:r w:rsidRPr="00A933E5">
              <w:rPr>
                <w:rFonts w:ascii="Arial" w:hAnsi="Arial" w:cs="Arial"/>
                <w:sz w:val="18"/>
                <w:szCs w:val="18"/>
              </w:rPr>
              <w:t xml:space="preserve"> Enerji İthalatı (Milyar Dolar)</w:t>
            </w:r>
          </w:p>
        </w:tc>
        <w:tc>
          <w:tcPr>
            <w:tcW w:w="616" w:type="pct"/>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60,1</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59,0</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61,0</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62,0</w:t>
            </w:r>
          </w:p>
        </w:tc>
        <w:tc>
          <w:tcPr>
            <w:tcW w:w="497" w:type="pct"/>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64,5</w:t>
            </w:r>
          </w:p>
        </w:tc>
      </w:tr>
      <w:tr w:rsidR="00A933E5" w:rsidRPr="00A933E5" w:rsidTr="001F18F2">
        <w:trPr>
          <w:trHeight w:val="332"/>
        </w:trPr>
        <w:tc>
          <w:tcPr>
            <w:tcW w:w="2269" w:type="pct"/>
            <w:shd w:val="clear" w:color="auto" w:fill="auto"/>
            <w:noWrap/>
            <w:vAlign w:val="center"/>
          </w:tcPr>
          <w:p w:rsidR="00A933E5" w:rsidRPr="00A933E5" w:rsidRDefault="00A933E5" w:rsidP="001F18F2">
            <w:pPr>
              <w:spacing w:after="0" w:line="240" w:lineRule="auto"/>
              <w:ind w:firstLine="72"/>
              <w:rPr>
                <w:rFonts w:ascii="Arial" w:hAnsi="Arial" w:cs="Arial"/>
                <w:sz w:val="18"/>
                <w:szCs w:val="18"/>
              </w:rPr>
            </w:pPr>
            <w:r w:rsidRPr="00A933E5">
              <w:rPr>
                <w:rFonts w:ascii="Arial" w:hAnsi="Arial" w:cs="Arial"/>
                <w:sz w:val="18"/>
                <w:szCs w:val="18"/>
              </w:rPr>
              <w:t>Dış Ticaret Dengesi (Milyar Dolar)</w:t>
            </w:r>
          </w:p>
        </w:tc>
        <w:tc>
          <w:tcPr>
            <w:tcW w:w="616" w:type="pct"/>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-84,1</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-98,0</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-95,5</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-98,0</w:t>
            </w:r>
          </w:p>
        </w:tc>
        <w:tc>
          <w:tcPr>
            <w:tcW w:w="497" w:type="pct"/>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-102,5</w:t>
            </w:r>
          </w:p>
        </w:tc>
      </w:tr>
      <w:tr w:rsidR="00A933E5" w:rsidRPr="00A933E5" w:rsidTr="001F18F2">
        <w:trPr>
          <w:trHeight w:val="332"/>
        </w:trPr>
        <w:tc>
          <w:tcPr>
            <w:tcW w:w="2269" w:type="pct"/>
            <w:shd w:val="clear" w:color="auto" w:fill="auto"/>
            <w:noWrap/>
            <w:vAlign w:val="center"/>
          </w:tcPr>
          <w:p w:rsidR="00A933E5" w:rsidRPr="00A933E5" w:rsidRDefault="00A933E5" w:rsidP="001F18F2">
            <w:pPr>
              <w:spacing w:after="0" w:line="240" w:lineRule="auto"/>
              <w:ind w:firstLine="72"/>
              <w:rPr>
                <w:rFonts w:ascii="Arial" w:hAnsi="Arial" w:cs="Arial"/>
                <w:sz w:val="18"/>
                <w:szCs w:val="18"/>
              </w:rPr>
            </w:pPr>
            <w:r w:rsidRPr="00A933E5">
              <w:rPr>
                <w:rFonts w:ascii="Arial" w:hAnsi="Arial" w:cs="Arial"/>
                <w:sz w:val="18"/>
                <w:szCs w:val="18"/>
              </w:rPr>
              <w:t>İhracat / İthalat (%)</w:t>
            </w:r>
          </w:p>
        </w:tc>
        <w:tc>
          <w:tcPr>
            <w:tcW w:w="616" w:type="pct"/>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64,5</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61,0</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63,5</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65,2</w:t>
            </w:r>
          </w:p>
        </w:tc>
        <w:tc>
          <w:tcPr>
            <w:tcW w:w="497" w:type="pct"/>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66,4</w:t>
            </w:r>
          </w:p>
        </w:tc>
      </w:tr>
      <w:tr w:rsidR="00A933E5" w:rsidRPr="00A933E5" w:rsidTr="001F18F2">
        <w:trPr>
          <w:trHeight w:val="332"/>
        </w:trPr>
        <w:tc>
          <w:tcPr>
            <w:tcW w:w="2269" w:type="pct"/>
            <w:shd w:val="clear" w:color="auto" w:fill="auto"/>
            <w:noWrap/>
            <w:vAlign w:val="center"/>
          </w:tcPr>
          <w:p w:rsidR="00A933E5" w:rsidRPr="00A933E5" w:rsidRDefault="00A933E5" w:rsidP="001F18F2">
            <w:pPr>
              <w:spacing w:after="0" w:line="240" w:lineRule="auto"/>
              <w:ind w:firstLine="72"/>
              <w:rPr>
                <w:rFonts w:ascii="Arial" w:hAnsi="Arial" w:cs="Arial"/>
                <w:sz w:val="18"/>
                <w:szCs w:val="18"/>
              </w:rPr>
            </w:pPr>
            <w:r w:rsidRPr="00A933E5">
              <w:rPr>
                <w:rFonts w:ascii="Arial" w:hAnsi="Arial" w:cs="Arial"/>
                <w:sz w:val="18"/>
                <w:szCs w:val="18"/>
              </w:rPr>
              <w:t>Dış Ticaret Hacmi / GSYH (%)</w:t>
            </w:r>
          </w:p>
        </w:tc>
        <w:tc>
          <w:tcPr>
            <w:tcW w:w="616" w:type="pct"/>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49,5</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49,2</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49,4</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50,2</w:t>
            </w:r>
          </w:p>
        </w:tc>
        <w:tc>
          <w:tcPr>
            <w:tcW w:w="497" w:type="pct"/>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50,9</w:t>
            </w:r>
          </w:p>
        </w:tc>
      </w:tr>
      <w:tr w:rsidR="00A933E5" w:rsidRPr="00A933E5" w:rsidTr="001F18F2">
        <w:trPr>
          <w:trHeight w:val="332"/>
        </w:trPr>
        <w:tc>
          <w:tcPr>
            <w:tcW w:w="2269" w:type="pct"/>
            <w:shd w:val="clear" w:color="auto" w:fill="auto"/>
            <w:noWrap/>
            <w:vAlign w:val="center"/>
          </w:tcPr>
          <w:p w:rsidR="00A933E5" w:rsidRPr="00A933E5" w:rsidRDefault="00A933E5" w:rsidP="001F18F2">
            <w:pPr>
              <w:spacing w:after="0" w:line="240" w:lineRule="auto"/>
              <w:ind w:firstLine="72"/>
              <w:rPr>
                <w:rFonts w:ascii="Arial" w:hAnsi="Arial" w:cs="Arial"/>
                <w:sz w:val="18"/>
                <w:szCs w:val="18"/>
              </w:rPr>
            </w:pPr>
            <w:r w:rsidRPr="00A933E5">
              <w:rPr>
                <w:rFonts w:ascii="Arial" w:hAnsi="Arial" w:cs="Arial"/>
                <w:sz w:val="18"/>
                <w:szCs w:val="18"/>
              </w:rPr>
              <w:t>Turizm Gelirleri (Milyar Dolar)</w:t>
            </w:r>
            <w:r w:rsidRPr="00A933E5">
              <w:rPr>
                <w:rFonts w:ascii="Arial" w:hAnsi="Arial" w:cs="Arial"/>
                <w:sz w:val="18"/>
                <w:szCs w:val="16"/>
                <w:vertAlign w:val="superscript"/>
              </w:rPr>
              <w:t xml:space="preserve"> (4)</w:t>
            </w:r>
          </w:p>
        </w:tc>
        <w:tc>
          <w:tcPr>
            <w:tcW w:w="616" w:type="pct"/>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25,7</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29,0</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31,0</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32,0</w:t>
            </w:r>
          </w:p>
        </w:tc>
        <w:tc>
          <w:tcPr>
            <w:tcW w:w="497" w:type="pct"/>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34,5</w:t>
            </w:r>
          </w:p>
        </w:tc>
      </w:tr>
      <w:tr w:rsidR="00A933E5" w:rsidRPr="00A933E5" w:rsidTr="001F18F2">
        <w:trPr>
          <w:trHeight w:val="332"/>
        </w:trPr>
        <w:tc>
          <w:tcPr>
            <w:tcW w:w="2269" w:type="pct"/>
            <w:shd w:val="clear" w:color="auto" w:fill="auto"/>
            <w:noWrap/>
            <w:vAlign w:val="center"/>
          </w:tcPr>
          <w:p w:rsidR="00A933E5" w:rsidRPr="00A933E5" w:rsidRDefault="00A933E5" w:rsidP="001F18F2">
            <w:pPr>
              <w:spacing w:after="0" w:line="240" w:lineRule="auto"/>
              <w:ind w:firstLine="72"/>
              <w:rPr>
                <w:rFonts w:ascii="Arial" w:hAnsi="Arial" w:cs="Arial"/>
                <w:sz w:val="18"/>
                <w:szCs w:val="18"/>
              </w:rPr>
            </w:pPr>
            <w:r w:rsidRPr="00A933E5">
              <w:rPr>
                <w:rFonts w:ascii="Arial" w:hAnsi="Arial" w:cs="Arial"/>
                <w:sz w:val="18"/>
                <w:szCs w:val="18"/>
              </w:rPr>
              <w:t>Cari İşlemler Dengesi (Milyar Dolar)</w:t>
            </w:r>
          </w:p>
        </w:tc>
        <w:tc>
          <w:tcPr>
            <w:tcW w:w="616" w:type="pct"/>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-47,8</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-58,8</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-55,5</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-55,0</w:t>
            </w:r>
          </w:p>
        </w:tc>
        <w:tc>
          <w:tcPr>
            <w:tcW w:w="497" w:type="pct"/>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-55,0</w:t>
            </w:r>
          </w:p>
        </w:tc>
      </w:tr>
      <w:tr w:rsidR="00A933E5" w:rsidRPr="00A933E5" w:rsidTr="001F18F2">
        <w:trPr>
          <w:trHeight w:val="332"/>
        </w:trPr>
        <w:tc>
          <w:tcPr>
            <w:tcW w:w="2269" w:type="pct"/>
            <w:shd w:val="clear" w:color="auto" w:fill="auto"/>
            <w:noWrap/>
            <w:vAlign w:val="center"/>
          </w:tcPr>
          <w:p w:rsidR="00A933E5" w:rsidRPr="00A933E5" w:rsidRDefault="00A933E5" w:rsidP="001F18F2">
            <w:pPr>
              <w:spacing w:after="0" w:line="240" w:lineRule="auto"/>
              <w:ind w:firstLine="72"/>
              <w:rPr>
                <w:rFonts w:ascii="Arial" w:hAnsi="Arial" w:cs="Arial"/>
                <w:sz w:val="18"/>
                <w:szCs w:val="18"/>
              </w:rPr>
            </w:pPr>
            <w:r w:rsidRPr="00A933E5">
              <w:rPr>
                <w:rFonts w:ascii="Arial" w:hAnsi="Arial" w:cs="Arial"/>
                <w:sz w:val="18"/>
                <w:szCs w:val="18"/>
              </w:rPr>
              <w:t>Cari İşlemler Dengesi / GSYH (%)</w:t>
            </w:r>
          </w:p>
        </w:tc>
        <w:tc>
          <w:tcPr>
            <w:tcW w:w="616" w:type="pct"/>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-6,1</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-7,1</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-6,4</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-5,9</w:t>
            </w:r>
          </w:p>
        </w:tc>
        <w:tc>
          <w:tcPr>
            <w:tcW w:w="497" w:type="pct"/>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-5,5</w:t>
            </w:r>
          </w:p>
        </w:tc>
      </w:tr>
      <w:tr w:rsidR="00A933E5" w:rsidRPr="00A933E5" w:rsidTr="001F18F2">
        <w:trPr>
          <w:trHeight w:val="332"/>
        </w:trPr>
        <w:tc>
          <w:tcPr>
            <w:tcW w:w="2269" w:type="pct"/>
            <w:shd w:val="clear" w:color="auto" w:fill="auto"/>
            <w:noWrap/>
            <w:vAlign w:val="center"/>
          </w:tcPr>
          <w:p w:rsidR="00A933E5" w:rsidRPr="00A933E5" w:rsidRDefault="00A933E5" w:rsidP="001F18F2">
            <w:pPr>
              <w:spacing w:after="0" w:line="240" w:lineRule="auto"/>
              <w:ind w:firstLine="72"/>
              <w:rPr>
                <w:rFonts w:ascii="Arial" w:hAnsi="Arial" w:cs="Arial"/>
                <w:sz w:val="18"/>
                <w:szCs w:val="18"/>
              </w:rPr>
            </w:pPr>
            <w:r w:rsidRPr="00A933E5">
              <w:rPr>
                <w:rFonts w:ascii="Arial" w:hAnsi="Arial" w:cs="Arial"/>
                <w:sz w:val="18"/>
                <w:szCs w:val="18"/>
              </w:rPr>
              <w:t>Altın Hariç Cari İşlemler Dengesi / GSYH (%)</w:t>
            </w:r>
          </w:p>
        </w:tc>
        <w:tc>
          <w:tcPr>
            <w:tcW w:w="616" w:type="pct"/>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-6,8</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-6,1</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-6,1</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-5,6</w:t>
            </w:r>
          </w:p>
        </w:tc>
        <w:tc>
          <w:tcPr>
            <w:tcW w:w="497" w:type="pct"/>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-5,2</w:t>
            </w:r>
          </w:p>
        </w:tc>
      </w:tr>
      <w:tr w:rsidR="00A933E5" w:rsidRPr="00A933E5" w:rsidTr="001F18F2">
        <w:trPr>
          <w:trHeight w:val="332"/>
        </w:trPr>
        <w:tc>
          <w:tcPr>
            <w:tcW w:w="2269" w:type="pct"/>
            <w:shd w:val="clear" w:color="auto" w:fill="auto"/>
            <w:noWrap/>
            <w:vAlign w:val="center"/>
          </w:tcPr>
          <w:p w:rsidR="00A933E5" w:rsidRPr="00A933E5" w:rsidRDefault="00A933E5" w:rsidP="001F18F2">
            <w:pPr>
              <w:spacing w:after="0" w:line="240" w:lineRule="auto"/>
              <w:ind w:firstLine="72"/>
              <w:rPr>
                <w:rFonts w:ascii="Arial" w:hAnsi="Arial" w:cs="Arial"/>
                <w:b/>
                <w:bCs/>
                <w:sz w:val="18"/>
                <w:szCs w:val="18"/>
              </w:rPr>
            </w:pPr>
            <w:r w:rsidRPr="00A933E5">
              <w:rPr>
                <w:rFonts w:ascii="Arial" w:hAnsi="Arial" w:cs="Arial"/>
                <w:b/>
                <w:bCs/>
                <w:sz w:val="18"/>
                <w:szCs w:val="18"/>
              </w:rPr>
              <w:t xml:space="preserve">ENFLASYON   </w:t>
            </w:r>
          </w:p>
        </w:tc>
        <w:tc>
          <w:tcPr>
            <w:tcW w:w="616" w:type="pct"/>
            <w:vAlign w:val="center"/>
          </w:tcPr>
          <w:p w:rsidR="00A933E5" w:rsidRPr="00A933E5" w:rsidRDefault="00A933E5" w:rsidP="001F18F2">
            <w:pPr>
              <w:spacing w:after="0" w:line="240" w:lineRule="auto"/>
              <w:ind w:hanging="7"/>
              <w:jc w:val="right"/>
              <w:rPr>
                <w:rFonts w:ascii="Arial" w:hAnsi="Arial" w:cs="Arial"/>
                <w:sz w:val="18"/>
                <w:szCs w:val="18"/>
              </w:rPr>
            </w:pP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p>
        </w:tc>
        <w:tc>
          <w:tcPr>
            <w:tcW w:w="497" w:type="pct"/>
            <w:vAlign w:val="center"/>
          </w:tcPr>
          <w:p w:rsidR="00A933E5" w:rsidRPr="00A933E5" w:rsidRDefault="00A933E5" w:rsidP="001F18F2">
            <w:pPr>
              <w:spacing w:after="0" w:line="240" w:lineRule="auto"/>
              <w:ind w:hanging="18"/>
              <w:jc w:val="right"/>
              <w:rPr>
                <w:rFonts w:ascii="Arial" w:hAnsi="Arial" w:cs="Arial"/>
                <w:sz w:val="18"/>
                <w:szCs w:val="18"/>
              </w:rPr>
            </w:pPr>
          </w:p>
        </w:tc>
      </w:tr>
      <w:tr w:rsidR="00A933E5" w:rsidRPr="00A933E5" w:rsidTr="001F18F2">
        <w:trPr>
          <w:trHeight w:val="332"/>
        </w:trPr>
        <w:tc>
          <w:tcPr>
            <w:tcW w:w="2269" w:type="pct"/>
            <w:shd w:val="clear" w:color="auto" w:fill="auto"/>
            <w:noWrap/>
            <w:vAlign w:val="center"/>
          </w:tcPr>
          <w:p w:rsidR="00A933E5" w:rsidRPr="00A933E5" w:rsidRDefault="00A933E5" w:rsidP="001F18F2">
            <w:pPr>
              <w:spacing w:after="0" w:line="240" w:lineRule="auto"/>
              <w:ind w:firstLine="72"/>
              <w:rPr>
                <w:rFonts w:ascii="Arial" w:hAnsi="Arial" w:cs="Arial"/>
                <w:sz w:val="18"/>
                <w:szCs w:val="18"/>
              </w:rPr>
            </w:pPr>
            <w:r w:rsidRPr="00A933E5">
              <w:rPr>
                <w:rFonts w:ascii="Arial" w:hAnsi="Arial" w:cs="Arial"/>
                <w:sz w:val="18"/>
                <w:szCs w:val="18"/>
              </w:rPr>
              <w:t>GSYH Deflatörü</w:t>
            </w:r>
          </w:p>
        </w:tc>
        <w:tc>
          <w:tcPr>
            <w:tcW w:w="616" w:type="pct"/>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6,8</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6,3</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6,0</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5,0</w:t>
            </w:r>
          </w:p>
        </w:tc>
        <w:tc>
          <w:tcPr>
            <w:tcW w:w="497" w:type="pct"/>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5,3</w:t>
            </w:r>
          </w:p>
        </w:tc>
      </w:tr>
      <w:tr w:rsidR="00A933E5" w:rsidRPr="00A933E5" w:rsidTr="001F18F2">
        <w:trPr>
          <w:trHeight w:val="332"/>
        </w:trPr>
        <w:tc>
          <w:tcPr>
            <w:tcW w:w="2269" w:type="pct"/>
            <w:shd w:val="clear" w:color="auto" w:fill="auto"/>
            <w:noWrap/>
            <w:vAlign w:val="center"/>
          </w:tcPr>
          <w:p w:rsidR="00A933E5" w:rsidRPr="00A933E5" w:rsidRDefault="00A933E5" w:rsidP="001F18F2">
            <w:pPr>
              <w:spacing w:after="0" w:line="240" w:lineRule="auto"/>
              <w:ind w:firstLine="72"/>
              <w:rPr>
                <w:rFonts w:ascii="Arial" w:hAnsi="Arial" w:cs="Arial"/>
                <w:sz w:val="18"/>
                <w:szCs w:val="18"/>
              </w:rPr>
            </w:pPr>
            <w:r w:rsidRPr="00A933E5">
              <w:rPr>
                <w:rFonts w:ascii="Arial" w:hAnsi="Arial" w:cs="Arial"/>
                <w:sz w:val="18"/>
                <w:szCs w:val="18"/>
              </w:rPr>
              <w:t xml:space="preserve">TÜFE Yıl Sonu % Değişme </w:t>
            </w:r>
          </w:p>
        </w:tc>
        <w:tc>
          <w:tcPr>
            <w:tcW w:w="616" w:type="pct"/>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6,2</w:t>
            </w:r>
          </w:p>
        </w:tc>
        <w:tc>
          <w:tcPr>
            <w:tcW w:w="539" w:type="pct"/>
            <w:shd w:val="clear" w:color="auto" w:fill="auto"/>
            <w:noWrap/>
            <w:vAlign w:val="center"/>
          </w:tcPr>
          <w:p w:rsidR="00A933E5" w:rsidRPr="00A933E5" w:rsidRDefault="00A933E5" w:rsidP="001F18F2">
            <w:pPr>
              <w:spacing w:after="0" w:line="240" w:lineRule="auto"/>
              <w:ind w:hanging="7"/>
              <w:jc w:val="right"/>
              <w:rPr>
                <w:rFonts w:ascii="Arial" w:hAnsi="Arial" w:cs="Arial"/>
                <w:sz w:val="18"/>
                <w:szCs w:val="18"/>
              </w:rPr>
            </w:pPr>
            <w:r w:rsidRPr="00A933E5">
              <w:rPr>
                <w:rFonts w:ascii="Arial" w:hAnsi="Arial" w:cs="Arial"/>
                <w:sz w:val="18"/>
                <w:szCs w:val="18"/>
              </w:rPr>
              <w:t>6,8</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5,3</w:t>
            </w:r>
          </w:p>
        </w:tc>
        <w:tc>
          <w:tcPr>
            <w:tcW w:w="539" w:type="pct"/>
            <w:shd w:val="clear" w:color="auto" w:fill="auto"/>
            <w:noWrap/>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5,0</w:t>
            </w:r>
          </w:p>
        </w:tc>
        <w:tc>
          <w:tcPr>
            <w:tcW w:w="497" w:type="pct"/>
            <w:vAlign w:val="center"/>
          </w:tcPr>
          <w:p w:rsidR="00A933E5" w:rsidRPr="00A933E5" w:rsidRDefault="00A933E5" w:rsidP="001F18F2">
            <w:pPr>
              <w:spacing w:after="0" w:line="240" w:lineRule="auto"/>
              <w:ind w:hanging="18"/>
              <w:jc w:val="right"/>
              <w:rPr>
                <w:rFonts w:ascii="Arial" w:hAnsi="Arial" w:cs="Arial"/>
                <w:sz w:val="18"/>
                <w:szCs w:val="18"/>
              </w:rPr>
            </w:pPr>
            <w:r w:rsidRPr="00A933E5">
              <w:rPr>
                <w:rFonts w:ascii="Arial" w:hAnsi="Arial" w:cs="Arial"/>
                <w:sz w:val="18"/>
                <w:szCs w:val="18"/>
              </w:rPr>
              <w:t>5,0</w:t>
            </w:r>
          </w:p>
        </w:tc>
      </w:tr>
    </w:tbl>
    <w:p w:rsidR="00A933E5" w:rsidRDefault="00A933E5" w:rsidP="00A933E5">
      <w:pPr>
        <w:spacing w:after="0" w:line="240" w:lineRule="auto"/>
        <w:rPr>
          <w:sz w:val="16"/>
          <w:szCs w:val="12"/>
        </w:rPr>
      </w:pPr>
      <w:r>
        <w:rPr>
          <w:sz w:val="16"/>
          <w:szCs w:val="12"/>
        </w:rPr>
        <w:t>Not: Tablodaki rakamlar yuvarlamadan dolayı toplamı vermeyebilir.</w:t>
      </w:r>
    </w:p>
    <w:p w:rsidR="00A933E5" w:rsidRDefault="00A933E5" w:rsidP="00A933E5">
      <w:pPr>
        <w:spacing w:after="0" w:line="240" w:lineRule="auto"/>
        <w:rPr>
          <w:sz w:val="16"/>
          <w:szCs w:val="12"/>
        </w:rPr>
      </w:pPr>
      <w:r>
        <w:rPr>
          <w:sz w:val="16"/>
          <w:szCs w:val="12"/>
        </w:rPr>
        <w:t>(1) Gerçekleşme Tahmini  (2) Program</w:t>
      </w:r>
    </w:p>
    <w:p w:rsidR="00A933E5" w:rsidRDefault="00A933E5" w:rsidP="00A933E5">
      <w:pPr>
        <w:spacing w:after="0" w:line="240" w:lineRule="auto"/>
        <w:rPr>
          <w:sz w:val="16"/>
          <w:szCs w:val="12"/>
        </w:rPr>
      </w:pPr>
      <w:r w:rsidRPr="001B1D61">
        <w:rPr>
          <w:sz w:val="16"/>
          <w:szCs w:val="12"/>
        </w:rPr>
        <w:t>(</w:t>
      </w:r>
      <w:r>
        <w:rPr>
          <w:sz w:val="16"/>
          <w:szCs w:val="12"/>
        </w:rPr>
        <w:t>3</w:t>
      </w:r>
      <w:r w:rsidRPr="001B1D61">
        <w:rPr>
          <w:sz w:val="16"/>
          <w:szCs w:val="12"/>
        </w:rPr>
        <w:t>) Sabit fiyatlarla yüzde değişimi göstermektedir.</w:t>
      </w:r>
      <w:r>
        <w:rPr>
          <w:sz w:val="16"/>
          <w:szCs w:val="12"/>
        </w:rPr>
        <w:t xml:space="preserve"> (4) Ödemeler dengesinde gösterildiği şekliyledir.</w:t>
      </w:r>
    </w:p>
    <w:tbl>
      <w:tblPr>
        <w:tblW w:w="9147" w:type="dxa"/>
        <w:tblInd w:w="65" w:type="dxa"/>
        <w:tblCellMar>
          <w:left w:w="70" w:type="dxa"/>
          <w:right w:w="70" w:type="dxa"/>
        </w:tblCellMar>
        <w:tblLook w:val="04A0" w:firstRow="1" w:lastRow="0" w:firstColumn="1" w:lastColumn="0" w:noHBand="0" w:noVBand="1"/>
      </w:tblPr>
      <w:tblGrid>
        <w:gridCol w:w="3970"/>
        <w:gridCol w:w="965"/>
        <w:gridCol w:w="965"/>
        <w:gridCol w:w="1051"/>
        <w:gridCol w:w="1134"/>
        <w:gridCol w:w="1062"/>
      </w:tblGrid>
      <w:tr w:rsidR="00B903E0" w:rsidRPr="00071923" w:rsidTr="00887151">
        <w:trPr>
          <w:trHeight w:val="300"/>
        </w:trPr>
        <w:tc>
          <w:tcPr>
            <w:tcW w:w="9147" w:type="dxa"/>
            <w:gridSpan w:val="6"/>
            <w:tcBorders>
              <w:bottom w:val="single" w:sz="12" w:space="0" w:color="auto"/>
            </w:tcBorders>
            <w:shd w:val="clear" w:color="000000" w:fill="FFFFFF"/>
            <w:noWrap/>
            <w:vAlign w:val="bottom"/>
          </w:tcPr>
          <w:p w:rsidR="00B903E0" w:rsidRPr="00071923" w:rsidRDefault="00B903E0" w:rsidP="00887151">
            <w:pPr>
              <w:spacing w:after="0" w:line="240" w:lineRule="auto"/>
              <w:rPr>
                <w:rFonts w:ascii="Arial" w:eastAsia="Times New Roman" w:hAnsi="Arial" w:cs="Arial"/>
                <w:b/>
                <w:bCs/>
                <w:sz w:val="16"/>
                <w:szCs w:val="16"/>
                <w:lang w:eastAsia="tr-TR"/>
              </w:rPr>
            </w:pPr>
            <w:r w:rsidRPr="00071923">
              <w:rPr>
                <w:rFonts w:ascii="Arial" w:hAnsi="Arial" w:cs="Arial"/>
                <w:b/>
              </w:rPr>
              <w:t>Ek Tablo 2: Kamu Kesimi Genel Dengesi (1)</w:t>
            </w:r>
          </w:p>
        </w:tc>
      </w:tr>
      <w:tr w:rsidR="00B903E0" w:rsidRPr="00071923" w:rsidTr="00887151">
        <w:trPr>
          <w:trHeight w:val="300"/>
        </w:trPr>
        <w:tc>
          <w:tcPr>
            <w:tcW w:w="3970" w:type="dxa"/>
            <w:tcBorders>
              <w:top w:val="single" w:sz="12" w:space="0" w:color="auto"/>
              <w:left w:val="single" w:sz="12" w:space="0" w:color="auto"/>
              <w:bottom w:val="nil"/>
              <w:right w:val="nil"/>
            </w:tcBorders>
            <w:shd w:val="clear" w:color="000000" w:fill="FFFFFF"/>
            <w:noWrap/>
            <w:vAlign w:val="bottom"/>
            <w:hideMark/>
          </w:tcPr>
          <w:p w:rsidR="00B903E0" w:rsidRPr="00071923" w:rsidRDefault="00B903E0" w:rsidP="00887151">
            <w:pPr>
              <w:spacing w:after="0" w:line="240" w:lineRule="auto"/>
              <w:rPr>
                <w:rFonts w:ascii="Arial" w:eastAsia="Times New Roman" w:hAnsi="Arial" w:cs="Arial"/>
                <w:sz w:val="18"/>
                <w:szCs w:val="18"/>
                <w:lang w:eastAsia="tr-TR"/>
              </w:rPr>
            </w:pPr>
            <w:r w:rsidRPr="00071923">
              <w:rPr>
                <w:rFonts w:ascii="Arial" w:eastAsia="Times New Roman" w:hAnsi="Arial" w:cs="Arial"/>
                <w:sz w:val="18"/>
                <w:szCs w:val="18"/>
                <w:lang w:eastAsia="tr-TR"/>
              </w:rPr>
              <w:t> </w:t>
            </w:r>
          </w:p>
        </w:tc>
        <w:tc>
          <w:tcPr>
            <w:tcW w:w="965" w:type="dxa"/>
            <w:tcBorders>
              <w:top w:val="single" w:sz="12" w:space="0" w:color="auto"/>
              <w:left w:val="single" w:sz="4" w:space="0" w:color="auto"/>
              <w:right w:val="single" w:sz="4" w:space="0" w:color="auto"/>
            </w:tcBorders>
            <w:shd w:val="clear" w:color="000000" w:fill="FFFFFF"/>
            <w:noWrap/>
            <w:vAlign w:val="center"/>
            <w:hideMark/>
          </w:tcPr>
          <w:p w:rsidR="00B903E0" w:rsidRPr="00071923" w:rsidRDefault="00B903E0" w:rsidP="00887151">
            <w:pPr>
              <w:spacing w:after="0" w:line="240" w:lineRule="auto"/>
              <w:jc w:val="center"/>
              <w:rPr>
                <w:rFonts w:ascii="Arial" w:eastAsia="Times New Roman" w:hAnsi="Arial" w:cs="Arial"/>
                <w:b/>
                <w:bCs/>
                <w:sz w:val="18"/>
                <w:szCs w:val="18"/>
                <w:lang w:eastAsia="tr-TR"/>
              </w:rPr>
            </w:pPr>
          </w:p>
        </w:tc>
        <w:tc>
          <w:tcPr>
            <w:tcW w:w="965" w:type="dxa"/>
            <w:tcBorders>
              <w:top w:val="single" w:sz="12" w:space="0" w:color="auto"/>
              <w:left w:val="nil"/>
              <w:right w:val="nil"/>
            </w:tcBorders>
            <w:shd w:val="clear" w:color="000000" w:fill="FFFFFF"/>
            <w:noWrap/>
            <w:vAlign w:val="center"/>
            <w:hideMark/>
          </w:tcPr>
          <w:p w:rsidR="00B903E0" w:rsidRPr="00071923" w:rsidRDefault="00B903E0" w:rsidP="00887151">
            <w:pPr>
              <w:spacing w:after="0" w:line="240" w:lineRule="auto"/>
              <w:jc w:val="center"/>
              <w:rPr>
                <w:rFonts w:ascii="Arial" w:eastAsia="Times New Roman" w:hAnsi="Arial" w:cs="Arial"/>
                <w:b/>
                <w:bCs/>
                <w:sz w:val="18"/>
                <w:szCs w:val="18"/>
                <w:lang w:eastAsia="tr-TR"/>
              </w:rPr>
            </w:pPr>
          </w:p>
        </w:tc>
        <w:tc>
          <w:tcPr>
            <w:tcW w:w="3247" w:type="dxa"/>
            <w:gridSpan w:val="3"/>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B903E0" w:rsidRPr="00071923" w:rsidRDefault="00B903E0" w:rsidP="00887151">
            <w:pPr>
              <w:spacing w:after="0" w:line="240" w:lineRule="auto"/>
              <w:jc w:val="center"/>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OVP</w:t>
            </w:r>
          </w:p>
        </w:tc>
      </w:tr>
      <w:tr w:rsidR="00B903E0" w:rsidRPr="00071923" w:rsidTr="00887151">
        <w:trPr>
          <w:trHeight w:val="300"/>
        </w:trPr>
        <w:tc>
          <w:tcPr>
            <w:tcW w:w="3970" w:type="dxa"/>
            <w:tcBorders>
              <w:top w:val="nil"/>
              <w:left w:val="single" w:sz="12" w:space="0" w:color="auto"/>
              <w:bottom w:val="single" w:sz="12" w:space="0" w:color="auto"/>
              <w:right w:val="nil"/>
            </w:tcBorders>
            <w:shd w:val="clear" w:color="000000" w:fill="FFFFFF"/>
            <w:noWrap/>
            <w:vAlign w:val="bottom"/>
            <w:hideMark/>
          </w:tcPr>
          <w:p w:rsidR="00B903E0" w:rsidRPr="00071923" w:rsidRDefault="00B903E0" w:rsidP="00887151">
            <w:pPr>
              <w:spacing w:after="0" w:line="240" w:lineRule="auto"/>
              <w:rPr>
                <w:rFonts w:ascii="Arial" w:eastAsia="Times New Roman" w:hAnsi="Arial" w:cs="Arial"/>
                <w:sz w:val="18"/>
                <w:szCs w:val="18"/>
                <w:lang w:eastAsia="tr-TR"/>
              </w:rPr>
            </w:pPr>
            <w:r w:rsidRPr="00071923">
              <w:rPr>
                <w:rFonts w:ascii="Arial" w:eastAsia="Times New Roman" w:hAnsi="Arial" w:cs="Arial"/>
                <w:sz w:val="18"/>
                <w:szCs w:val="18"/>
                <w:lang w:eastAsia="tr-TR"/>
              </w:rPr>
              <w:t> </w:t>
            </w:r>
          </w:p>
        </w:tc>
        <w:tc>
          <w:tcPr>
            <w:tcW w:w="965" w:type="dxa"/>
            <w:tcBorders>
              <w:left w:val="single" w:sz="4" w:space="0" w:color="auto"/>
              <w:bottom w:val="single" w:sz="12" w:space="0" w:color="auto"/>
              <w:right w:val="single" w:sz="4" w:space="0" w:color="auto"/>
            </w:tcBorders>
            <w:shd w:val="clear" w:color="000000" w:fill="FFFFFF"/>
            <w:noWrap/>
            <w:vAlign w:val="center"/>
            <w:hideMark/>
          </w:tcPr>
          <w:p w:rsidR="00B903E0" w:rsidRPr="00071923" w:rsidRDefault="00B903E0" w:rsidP="00887151">
            <w:pPr>
              <w:spacing w:after="0" w:line="240" w:lineRule="auto"/>
              <w:jc w:val="center"/>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2012</w:t>
            </w:r>
          </w:p>
        </w:tc>
        <w:tc>
          <w:tcPr>
            <w:tcW w:w="965" w:type="dxa"/>
            <w:tcBorders>
              <w:left w:val="nil"/>
              <w:bottom w:val="single" w:sz="12" w:space="0" w:color="auto"/>
              <w:right w:val="single" w:sz="4" w:space="0" w:color="auto"/>
            </w:tcBorders>
            <w:shd w:val="clear" w:color="000000" w:fill="FFFFFF"/>
            <w:noWrap/>
            <w:vAlign w:val="center"/>
            <w:hideMark/>
          </w:tcPr>
          <w:p w:rsidR="00B903E0" w:rsidRPr="00071923" w:rsidRDefault="00B903E0" w:rsidP="00887151">
            <w:pPr>
              <w:spacing w:after="0" w:line="240" w:lineRule="auto"/>
              <w:jc w:val="center"/>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2013 GT</w:t>
            </w:r>
          </w:p>
        </w:tc>
        <w:tc>
          <w:tcPr>
            <w:tcW w:w="1051" w:type="dxa"/>
            <w:tcBorders>
              <w:top w:val="nil"/>
              <w:left w:val="nil"/>
              <w:bottom w:val="single" w:sz="12" w:space="0" w:color="auto"/>
              <w:right w:val="single" w:sz="4" w:space="0" w:color="auto"/>
            </w:tcBorders>
            <w:shd w:val="clear" w:color="000000" w:fill="FFFFFF"/>
            <w:noWrap/>
            <w:vAlign w:val="center"/>
            <w:hideMark/>
          </w:tcPr>
          <w:p w:rsidR="00B903E0" w:rsidRPr="00071923" w:rsidRDefault="00B903E0" w:rsidP="00887151">
            <w:pPr>
              <w:spacing w:after="0" w:line="240" w:lineRule="auto"/>
              <w:jc w:val="center"/>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2014</w:t>
            </w:r>
          </w:p>
        </w:tc>
        <w:tc>
          <w:tcPr>
            <w:tcW w:w="1134" w:type="dxa"/>
            <w:tcBorders>
              <w:top w:val="nil"/>
              <w:left w:val="nil"/>
              <w:bottom w:val="single" w:sz="12" w:space="0" w:color="auto"/>
              <w:right w:val="single" w:sz="4" w:space="0" w:color="auto"/>
            </w:tcBorders>
            <w:shd w:val="clear" w:color="000000" w:fill="FFFFFF"/>
            <w:noWrap/>
            <w:vAlign w:val="center"/>
            <w:hideMark/>
          </w:tcPr>
          <w:p w:rsidR="00B903E0" w:rsidRPr="00071923" w:rsidRDefault="00B903E0" w:rsidP="00887151">
            <w:pPr>
              <w:spacing w:after="0" w:line="240" w:lineRule="auto"/>
              <w:jc w:val="center"/>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2015</w:t>
            </w:r>
          </w:p>
        </w:tc>
        <w:tc>
          <w:tcPr>
            <w:tcW w:w="1062" w:type="dxa"/>
            <w:tcBorders>
              <w:top w:val="nil"/>
              <w:left w:val="nil"/>
              <w:bottom w:val="single" w:sz="12" w:space="0" w:color="auto"/>
              <w:right w:val="single" w:sz="12" w:space="0" w:color="auto"/>
            </w:tcBorders>
            <w:shd w:val="clear" w:color="000000" w:fill="FFFFFF"/>
            <w:noWrap/>
            <w:vAlign w:val="center"/>
            <w:hideMark/>
          </w:tcPr>
          <w:p w:rsidR="00B903E0" w:rsidRPr="00071923" w:rsidRDefault="00B903E0" w:rsidP="00887151">
            <w:pPr>
              <w:spacing w:after="0" w:line="240" w:lineRule="auto"/>
              <w:jc w:val="center"/>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2016</w:t>
            </w:r>
          </w:p>
        </w:tc>
      </w:tr>
      <w:tr w:rsidR="00B903E0" w:rsidRPr="00071923" w:rsidTr="00887151">
        <w:trPr>
          <w:trHeight w:val="300"/>
        </w:trPr>
        <w:tc>
          <w:tcPr>
            <w:tcW w:w="3970" w:type="dxa"/>
            <w:tcBorders>
              <w:top w:val="single" w:sz="12" w:space="0" w:color="auto"/>
              <w:left w:val="single" w:sz="12" w:space="0" w:color="auto"/>
              <w:bottom w:val="single" w:sz="4" w:space="0" w:color="auto"/>
              <w:right w:val="single" w:sz="4" w:space="0" w:color="auto"/>
            </w:tcBorders>
            <w:shd w:val="clear" w:color="000000" w:fill="FFFFFF"/>
            <w:noWrap/>
            <w:vAlign w:val="bottom"/>
          </w:tcPr>
          <w:p w:rsidR="00B903E0" w:rsidRPr="00071923" w:rsidRDefault="00B903E0" w:rsidP="00887151">
            <w:pPr>
              <w:spacing w:after="0" w:line="240" w:lineRule="auto"/>
              <w:rPr>
                <w:rFonts w:ascii="Arial" w:eastAsia="Times New Roman" w:hAnsi="Arial" w:cs="Arial"/>
                <w:b/>
                <w:bCs/>
                <w:color w:val="000000"/>
                <w:sz w:val="18"/>
                <w:szCs w:val="18"/>
                <w:lang w:eastAsia="tr-TR"/>
              </w:rPr>
            </w:pPr>
          </w:p>
        </w:tc>
        <w:tc>
          <w:tcPr>
            <w:tcW w:w="5177" w:type="dxa"/>
            <w:gridSpan w:val="5"/>
            <w:tcBorders>
              <w:top w:val="single" w:sz="12" w:space="0" w:color="auto"/>
              <w:left w:val="single" w:sz="4" w:space="0" w:color="auto"/>
              <w:bottom w:val="single" w:sz="4" w:space="0" w:color="auto"/>
              <w:right w:val="single" w:sz="12" w:space="0" w:color="auto"/>
            </w:tcBorders>
            <w:shd w:val="clear" w:color="000000" w:fill="FFFFFF"/>
            <w:noWrap/>
            <w:vAlign w:val="center"/>
          </w:tcPr>
          <w:p w:rsidR="00B903E0" w:rsidRPr="00071923" w:rsidRDefault="00B903E0" w:rsidP="00887151">
            <w:pPr>
              <w:spacing w:after="0" w:line="240" w:lineRule="auto"/>
              <w:jc w:val="center"/>
              <w:rPr>
                <w:rFonts w:ascii="Arial" w:eastAsia="Times New Roman" w:hAnsi="Arial" w:cs="Arial"/>
                <w:bCs/>
                <w:sz w:val="18"/>
                <w:szCs w:val="18"/>
                <w:lang w:eastAsia="tr-TR"/>
              </w:rPr>
            </w:pPr>
            <w:r w:rsidRPr="00071923">
              <w:rPr>
                <w:rFonts w:ascii="Arial" w:eastAsia="Times New Roman" w:hAnsi="Arial" w:cs="Arial"/>
                <w:bCs/>
                <w:sz w:val="18"/>
                <w:szCs w:val="18"/>
                <w:lang w:eastAsia="tr-TR"/>
              </w:rPr>
              <w:t>(Milyar TL)</w:t>
            </w:r>
          </w:p>
        </w:tc>
      </w:tr>
      <w:tr w:rsidR="00B903E0" w:rsidRPr="00071923" w:rsidTr="00887151">
        <w:trPr>
          <w:trHeight w:val="300"/>
        </w:trPr>
        <w:tc>
          <w:tcPr>
            <w:tcW w:w="3970" w:type="dxa"/>
            <w:tcBorders>
              <w:top w:val="single" w:sz="4" w:space="0" w:color="auto"/>
              <w:left w:val="single" w:sz="12"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rPr>
                <w:rFonts w:ascii="Arial" w:eastAsia="Times New Roman" w:hAnsi="Arial" w:cs="Arial"/>
                <w:b/>
                <w:bCs/>
                <w:color w:val="000000"/>
                <w:sz w:val="18"/>
                <w:szCs w:val="18"/>
                <w:lang w:eastAsia="tr-TR"/>
              </w:rPr>
            </w:pPr>
            <w:r w:rsidRPr="00071923">
              <w:rPr>
                <w:rFonts w:ascii="Arial" w:eastAsia="Times New Roman" w:hAnsi="Arial" w:cs="Arial"/>
                <w:b/>
                <w:bCs/>
                <w:color w:val="000000"/>
                <w:sz w:val="18"/>
                <w:szCs w:val="18"/>
                <w:lang w:eastAsia="tr-TR"/>
              </w:rPr>
              <w:t>Kamu Kesimi Genel Dengesi (KKGD)</w:t>
            </w:r>
          </w:p>
        </w:tc>
        <w:tc>
          <w:tcPr>
            <w:tcW w:w="965" w:type="dxa"/>
            <w:tcBorders>
              <w:top w:val="single" w:sz="4" w:space="0" w:color="auto"/>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-14,0</w:t>
            </w:r>
          </w:p>
        </w:tc>
        <w:tc>
          <w:tcPr>
            <w:tcW w:w="965" w:type="dxa"/>
            <w:tcBorders>
              <w:top w:val="single" w:sz="4" w:space="0" w:color="auto"/>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-12,9</w:t>
            </w:r>
          </w:p>
        </w:tc>
        <w:tc>
          <w:tcPr>
            <w:tcW w:w="1051" w:type="dxa"/>
            <w:tcBorders>
              <w:top w:val="single" w:sz="4" w:space="0" w:color="auto"/>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-17,9</w:t>
            </w:r>
          </w:p>
        </w:tc>
        <w:tc>
          <w:tcPr>
            <w:tcW w:w="1134" w:type="dxa"/>
            <w:tcBorders>
              <w:top w:val="single" w:sz="4" w:space="0" w:color="auto"/>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-14,8</w:t>
            </w:r>
          </w:p>
        </w:tc>
        <w:tc>
          <w:tcPr>
            <w:tcW w:w="1062" w:type="dxa"/>
            <w:tcBorders>
              <w:top w:val="single" w:sz="4" w:space="0" w:color="auto"/>
              <w:left w:val="nil"/>
              <w:bottom w:val="nil"/>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-10,5</w:t>
            </w:r>
          </w:p>
        </w:tc>
      </w:tr>
      <w:tr w:rsidR="00B903E0" w:rsidRPr="00071923" w:rsidTr="00887151">
        <w:trPr>
          <w:trHeight w:val="300"/>
        </w:trPr>
        <w:tc>
          <w:tcPr>
            <w:tcW w:w="3970"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071923">
            <w:pPr>
              <w:spacing w:after="0" w:line="240" w:lineRule="auto"/>
              <w:ind w:firstLineChars="200" w:firstLine="361"/>
              <w:rPr>
                <w:rFonts w:ascii="Arial" w:eastAsia="Times New Roman" w:hAnsi="Arial" w:cs="Arial"/>
                <w:b/>
                <w:bCs/>
                <w:color w:val="000000"/>
                <w:sz w:val="18"/>
                <w:szCs w:val="18"/>
                <w:lang w:eastAsia="tr-TR"/>
              </w:rPr>
            </w:pPr>
            <w:r w:rsidRPr="00071923">
              <w:rPr>
                <w:rFonts w:ascii="Arial" w:eastAsia="Times New Roman" w:hAnsi="Arial" w:cs="Arial"/>
                <w:b/>
                <w:bCs/>
                <w:color w:val="000000"/>
                <w:sz w:val="18"/>
                <w:szCs w:val="18"/>
                <w:lang w:eastAsia="tr-TR"/>
              </w:rPr>
              <w:t>Genel Devlet</w:t>
            </w:r>
          </w:p>
        </w:tc>
        <w:tc>
          <w:tcPr>
            <w:tcW w:w="965"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-14,7</w:t>
            </w:r>
          </w:p>
        </w:tc>
        <w:tc>
          <w:tcPr>
            <w:tcW w:w="965"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-15,9</w:t>
            </w:r>
          </w:p>
        </w:tc>
        <w:tc>
          <w:tcPr>
            <w:tcW w:w="1051"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-19,5</w:t>
            </w:r>
          </w:p>
        </w:tc>
        <w:tc>
          <w:tcPr>
            <w:tcW w:w="1134"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-15,5</w:t>
            </w:r>
          </w:p>
        </w:tc>
        <w:tc>
          <w:tcPr>
            <w:tcW w:w="1062" w:type="dxa"/>
            <w:tcBorders>
              <w:top w:val="nil"/>
              <w:left w:val="nil"/>
              <w:bottom w:val="nil"/>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-10,6</w:t>
            </w:r>
          </w:p>
        </w:tc>
      </w:tr>
      <w:tr w:rsidR="00B903E0" w:rsidRPr="00071923" w:rsidTr="00887151">
        <w:trPr>
          <w:trHeight w:val="300"/>
        </w:trPr>
        <w:tc>
          <w:tcPr>
            <w:tcW w:w="3970"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071923">
            <w:pPr>
              <w:spacing w:after="0" w:line="240" w:lineRule="auto"/>
              <w:ind w:firstLineChars="300" w:firstLine="540"/>
              <w:rPr>
                <w:rFonts w:ascii="Arial" w:eastAsia="Times New Roman" w:hAnsi="Arial" w:cs="Arial"/>
                <w:sz w:val="18"/>
                <w:szCs w:val="18"/>
                <w:lang w:eastAsia="tr-TR"/>
              </w:rPr>
            </w:pPr>
            <w:r w:rsidRPr="00071923">
              <w:rPr>
                <w:rFonts w:ascii="Arial" w:eastAsia="Times New Roman" w:hAnsi="Arial" w:cs="Arial"/>
                <w:sz w:val="18"/>
                <w:szCs w:val="18"/>
                <w:lang w:eastAsia="tr-TR"/>
              </w:rPr>
              <w:t>Merkezi Yönetim Bütçesi</w:t>
            </w:r>
          </w:p>
        </w:tc>
        <w:tc>
          <w:tcPr>
            <w:tcW w:w="965"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-29,4</w:t>
            </w:r>
          </w:p>
        </w:tc>
        <w:tc>
          <w:tcPr>
            <w:tcW w:w="965"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-19,4</w:t>
            </w:r>
          </w:p>
        </w:tc>
        <w:tc>
          <w:tcPr>
            <w:tcW w:w="1051"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-33,2</w:t>
            </w:r>
          </w:p>
        </w:tc>
        <w:tc>
          <w:tcPr>
            <w:tcW w:w="1134"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-29,5</w:t>
            </w:r>
          </w:p>
        </w:tc>
        <w:tc>
          <w:tcPr>
            <w:tcW w:w="1062" w:type="dxa"/>
            <w:tcBorders>
              <w:top w:val="nil"/>
              <w:left w:val="nil"/>
              <w:bottom w:val="nil"/>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-23,0</w:t>
            </w:r>
          </w:p>
        </w:tc>
      </w:tr>
      <w:tr w:rsidR="00B903E0" w:rsidRPr="00071923" w:rsidTr="00887151">
        <w:trPr>
          <w:trHeight w:val="300"/>
        </w:trPr>
        <w:tc>
          <w:tcPr>
            <w:tcW w:w="3970"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071923">
            <w:pPr>
              <w:spacing w:after="0" w:line="240" w:lineRule="auto"/>
              <w:ind w:firstLineChars="300" w:firstLine="540"/>
              <w:rPr>
                <w:rFonts w:ascii="Arial" w:eastAsia="Times New Roman" w:hAnsi="Arial" w:cs="Arial"/>
                <w:sz w:val="18"/>
                <w:szCs w:val="18"/>
                <w:lang w:eastAsia="tr-TR"/>
              </w:rPr>
            </w:pPr>
            <w:r w:rsidRPr="00071923">
              <w:rPr>
                <w:rFonts w:ascii="Arial" w:eastAsia="Times New Roman" w:hAnsi="Arial" w:cs="Arial"/>
                <w:sz w:val="18"/>
                <w:szCs w:val="18"/>
                <w:lang w:eastAsia="tr-TR"/>
              </w:rPr>
              <w:t>Mahalli İdareler</w:t>
            </w:r>
          </w:p>
        </w:tc>
        <w:tc>
          <w:tcPr>
            <w:tcW w:w="965"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0,1</w:t>
            </w:r>
          </w:p>
        </w:tc>
        <w:tc>
          <w:tcPr>
            <w:tcW w:w="965"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-2,0</w:t>
            </w:r>
          </w:p>
        </w:tc>
        <w:tc>
          <w:tcPr>
            <w:tcW w:w="1051"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0,8</w:t>
            </w:r>
          </w:p>
        </w:tc>
        <w:tc>
          <w:tcPr>
            <w:tcW w:w="1134"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-0,2</w:t>
            </w:r>
          </w:p>
        </w:tc>
        <w:tc>
          <w:tcPr>
            <w:tcW w:w="1062" w:type="dxa"/>
            <w:tcBorders>
              <w:top w:val="nil"/>
              <w:left w:val="nil"/>
              <w:bottom w:val="nil"/>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-3,4</w:t>
            </w:r>
          </w:p>
        </w:tc>
      </w:tr>
      <w:tr w:rsidR="00B903E0" w:rsidRPr="00071923" w:rsidTr="00887151">
        <w:trPr>
          <w:trHeight w:val="300"/>
        </w:trPr>
        <w:tc>
          <w:tcPr>
            <w:tcW w:w="3970"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071923">
            <w:pPr>
              <w:spacing w:after="0" w:line="240" w:lineRule="auto"/>
              <w:ind w:firstLineChars="300" w:firstLine="540"/>
              <w:rPr>
                <w:rFonts w:ascii="Arial" w:eastAsia="Times New Roman" w:hAnsi="Arial" w:cs="Arial"/>
                <w:sz w:val="18"/>
                <w:szCs w:val="18"/>
                <w:lang w:eastAsia="tr-TR"/>
              </w:rPr>
            </w:pPr>
            <w:r w:rsidRPr="00071923">
              <w:rPr>
                <w:rFonts w:ascii="Arial" w:eastAsia="Times New Roman" w:hAnsi="Arial" w:cs="Arial"/>
                <w:sz w:val="18"/>
                <w:szCs w:val="18"/>
                <w:lang w:eastAsia="tr-TR"/>
              </w:rPr>
              <w:t>Bütçe Dışı Fonlar</w:t>
            </w:r>
          </w:p>
        </w:tc>
        <w:tc>
          <w:tcPr>
            <w:tcW w:w="965"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6,5</w:t>
            </w:r>
          </w:p>
        </w:tc>
        <w:tc>
          <w:tcPr>
            <w:tcW w:w="965"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-4,3</w:t>
            </w:r>
          </w:p>
        </w:tc>
        <w:tc>
          <w:tcPr>
            <w:tcW w:w="1051"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2,4</w:t>
            </w:r>
          </w:p>
        </w:tc>
        <w:tc>
          <w:tcPr>
            <w:tcW w:w="1134"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2,4</w:t>
            </w:r>
          </w:p>
        </w:tc>
        <w:tc>
          <w:tcPr>
            <w:tcW w:w="1062" w:type="dxa"/>
            <w:tcBorders>
              <w:top w:val="nil"/>
              <w:left w:val="nil"/>
              <w:bottom w:val="nil"/>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2,7</w:t>
            </w:r>
          </w:p>
        </w:tc>
      </w:tr>
      <w:tr w:rsidR="00B903E0" w:rsidRPr="00071923" w:rsidTr="00887151">
        <w:trPr>
          <w:trHeight w:val="300"/>
        </w:trPr>
        <w:tc>
          <w:tcPr>
            <w:tcW w:w="3970"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071923">
            <w:pPr>
              <w:spacing w:after="0" w:line="240" w:lineRule="auto"/>
              <w:ind w:firstLineChars="300" w:firstLine="540"/>
              <w:rPr>
                <w:rFonts w:ascii="Arial" w:eastAsia="Times New Roman" w:hAnsi="Arial" w:cs="Arial"/>
                <w:sz w:val="18"/>
                <w:szCs w:val="18"/>
                <w:lang w:eastAsia="tr-TR"/>
              </w:rPr>
            </w:pPr>
            <w:r w:rsidRPr="00071923">
              <w:rPr>
                <w:rFonts w:ascii="Arial" w:eastAsia="Times New Roman" w:hAnsi="Arial" w:cs="Arial"/>
                <w:sz w:val="18"/>
                <w:szCs w:val="18"/>
                <w:lang w:eastAsia="tr-TR"/>
              </w:rPr>
              <w:t>İşsizlik Sigortası Fonu</w:t>
            </w:r>
          </w:p>
        </w:tc>
        <w:tc>
          <w:tcPr>
            <w:tcW w:w="965"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7,6</w:t>
            </w:r>
          </w:p>
        </w:tc>
        <w:tc>
          <w:tcPr>
            <w:tcW w:w="965"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8,5</w:t>
            </w:r>
          </w:p>
        </w:tc>
        <w:tc>
          <w:tcPr>
            <w:tcW w:w="1051"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9,6</w:t>
            </w:r>
          </w:p>
        </w:tc>
        <w:tc>
          <w:tcPr>
            <w:tcW w:w="1134"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10,8</w:t>
            </w:r>
          </w:p>
        </w:tc>
        <w:tc>
          <w:tcPr>
            <w:tcW w:w="1062" w:type="dxa"/>
            <w:tcBorders>
              <w:top w:val="nil"/>
              <w:left w:val="nil"/>
              <w:bottom w:val="nil"/>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11,9</w:t>
            </w:r>
          </w:p>
        </w:tc>
      </w:tr>
      <w:tr w:rsidR="00B903E0" w:rsidRPr="00071923" w:rsidTr="00887151">
        <w:trPr>
          <w:trHeight w:val="300"/>
        </w:trPr>
        <w:tc>
          <w:tcPr>
            <w:tcW w:w="3970"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071923">
            <w:pPr>
              <w:spacing w:after="0" w:line="240" w:lineRule="auto"/>
              <w:ind w:firstLineChars="300" w:firstLine="540"/>
              <w:rPr>
                <w:rFonts w:ascii="Arial" w:eastAsia="Times New Roman" w:hAnsi="Arial" w:cs="Arial"/>
                <w:sz w:val="18"/>
                <w:szCs w:val="18"/>
                <w:lang w:eastAsia="tr-TR"/>
              </w:rPr>
            </w:pPr>
            <w:r w:rsidRPr="00071923">
              <w:rPr>
                <w:rFonts w:ascii="Arial" w:eastAsia="Times New Roman" w:hAnsi="Arial" w:cs="Arial"/>
                <w:sz w:val="18"/>
                <w:szCs w:val="18"/>
                <w:lang w:eastAsia="tr-TR"/>
              </w:rPr>
              <w:t>Sosyal Güvenlik Kuruluşları</w:t>
            </w:r>
          </w:p>
        </w:tc>
        <w:tc>
          <w:tcPr>
            <w:tcW w:w="965"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-0,1</w:t>
            </w:r>
          </w:p>
        </w:tc>
        <w:tc>
          <w:tcPr>
            <w:tcW w:w="965"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-6,0</w:t>
            </w:r>
          </w:p>
        </w:tc>
        <w:tc>
          <w:tcPr>
            <w:tcW w:w="1051"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-6,7</w:t>
            </w:r>
          </w:p>
        </w:tc>
        <w:tc>
          <w:tcPr>
            <w:tcW w:w="1134"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-10,1</w:t>
            </w:r>
          </w:p>
        </w:tc>
        <w:tc>
          <w:tcPr>
            <w:tcW w:w="1062" w:type="dxa"/>
            <w:tcBorders>
              <w:top w:val="nil"/>
              <w:left w:val="nil"/>
              <w:bottom w:val="nil"/>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-13,6</w:t>
            </w:r>
          </w:p>
        </w:tc>
      </w:tr>
      <w:tr w:rsidR="00B903E0" w:rsidRPr="00071923" w:rsidTr="00887151">
        <w:trPr>
          <w:trHeight w:val="300"/>
        </w:trPr>
        <w:tc>
          <w:tcPr>
            <w:tcW w:w="3970"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071923">
            <w:pPr>
              <w:spacing w:after="0" w:line="240" w:lineRule="auto"/>
              <w:ind w:firstLineChars="300" w:firstLine="540"/>
              <w:rPr>
                <w:rFonts w:ascii="Arial" w:eastAsia="Times New Roman" w:hAnsi="Arial" w:cs="Arial"/>
                <w:sz w:val="18"/>
                <w:szCs w:val="18"/>
                <w:lang w:eastAsia="tr-TR"/>
              </w:rPr>
            </w:pPr>
            <w:r w:rsidRPr="00071923">
              <w:rPr>
                <w:rFonts w:ascii="Arial" w:eastAsia="Times New Roman" w:hAnsi="Arial" w:cs="Arial"/>
                <w:sz w:val="18"/>
                <w:szCs w:val="18"/>
                <w:lang w:eastAsia="tr-TR"/>
              </w:rPr>
              <w:t>Genel Sağlık Sigortası</w:t>
            </w:r>
          </w:p>
        </w:tc>
        <w:tc>
          <w:tcPr>
            <w:tcW w:w="965"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0,0</w:t>
            </w:r>
          </w:p>
        </w:tc>
        <w:tc>
          <w:tcPr>
            <w:tcW w:w="965"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6,0</w:t>
            </w:r>
          </w:p>
        </w:tc>
        <w:tc>
          <w:tcPr>
            <w:tcW w:w="1051"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6,7</w:t>
            </w:r>
          </w:p>
        </w:tc>
        <w:tc>
          <w:tcPr>
            <w:tcW w:w="1134"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10,1</w:t>
            </w:r>
          </w:p>
        </w:tc>
        <w:tc>
          <w:tcPr>
            <w:tcW w:w="1062" w:type="dxa"/>
            <w:tcBorders>
              <w:top w:val="nil"/>
              <w:left w:val="nil"/>
              <w:bottom w:val="nil"/>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13,6</w:t>
            </w:r>
          </w:p>
        </w:tc>
      </w:tr>
      <w:tr w:rsidR="00B903E0" w:rsidRPr="00071923" w:rsidTr="00887151">
        <w:trPr>
          <w:trHeight w:val="300"/>
        </w:trPr>
        <w:tc>
          <w:tcPr>
            <w:tcW w:w="3970"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071923">
            <w:pPr>
              <w:spacing w:after="0" w:line="240" w:lineRule="auto"/>
              <w:ind w:firstLineChars="300" w:firstLine="540"/>
              <w:rPr>
                <w:rFonts w:ascii="Arial" w:eastAsia="Times New Roman" w:hAnsi="Arial" w:cs="Arial"/>
                <w:sz w:val="18"/>
                <w:szCs w:val="18"/>
                <w:lang w:eastAsia="tr-TR"/>
              </w:rPr>
            </w:pPr>
            <w:r w:rsidRPr="00071923">
              <w:rPr>
                <w:rFonts w:ascii="Arial" w:eastAsia="Times New Roman" w:hAnsi="Arial" w:cs="Arial"/>
                <w:sz w:val="18"/>
                <w:szCs w:val="18"/>
                <w:lang w:eastAsia="tr-TR"/>
              </w:rPr>
              <w:t>Döner Sermayeli Kuruluşlar</w:t>
            </w:r>
          </w:p>
        </w:tc>
        <w:tc>
          <w:tcPr>
            <w:tcW w:w="965"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0,6</w:t>
            </w:r>
          </w:p>
        </w:tc>
        <w:tc>
          <w:tcPr>
            <w:tcW w:w="965"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1,4</w:t>
            </w:r>
          </w:p>
        </w:tc>
        <w:tc>
          <w:tcPr>
            <w:tcW w:w="1051"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0,9</w:t>
            </w:r>
          </w:p>
        </w:tc>
        <w:tc>
          <w:tcPr>
            <w:tcW w:w="1134"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1,0</w:t>
            </w:r>
          </w:p>
        </w:tc>
        <w:tc>
          <w:tcPr>
            <w:tcW w:w="1062" w:type="dxa"/>
            <w:tcBorders>
              <w:top w:val="nil"/>
              <w:left w:val="nil"/>
              <w:bottom w:val="nil"/>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1,2</w:t>
            </w:r>
          </w:p>
        </w:tc>
      </w:tr>
      <w:tr w:rsidR="00B903E0" w:rsidRPr="00071923" w:rsidTr="00887151">
        <w:trPr>
          <w:trHeight w:val="300"/>
        </w:trPr>
        <w:tc>
          <w:tcPr>
            <w:tcW w:w="3970"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071923">
            <w:pPr>
              <w:spacing w:after="0" w:line="240" w:lineRule="auto"/>
              <w:ind w:firstLineChars="200" w:firstLine="361"/>
              <w:rPr>
                <w:rFonts w:ascii="Arial" w:eastAsia="Times New Roman" w:hAnsi="Arial" w:cs="Arial"/>
                <w:b/>
                <w:bCs/>
                <w:color w:val="000000"/>
                <w:sz w:val="18"/>
                <w:szCs w:val="18"/>
                <w:lang w:eastAsia="tr-TR"/>
              </w:rPr>
            </w:pPr>
            <w:r w:rsidRPr="00071923">
              <w:rPr>
                <w:rFonts w:ascii="Arial" w:eastAsia="Times New Roman" w:hAnsi="Arial" w:cs="Arial"/>
                <w:b/>
                <w:bCs/>
                <w:color w:val="000000"/>
                <w:sz w:val="18"/>
                <w:szCs w:val="18"/>
                <w:lang w:eastAsia="tr-TR"/>
              </w:rPr>
              <w:t>KİT'ler</w:t>
            </w:r>
          </w:p>
        </w:tc>
        <w:tc>
          <w:tcPr>
            <w:tcW w:w="965"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0,7</w:t>
            </w:r>
          </w:p>
        </w:tc>
        <w:tc>
          <w:tcPr>
            <w:tcW w:w="965"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3,0</w:t>
            </w:r>
          </w:p>
        </w:tc>
        <w:tc>
          <w:tcPr>
            <w:tcW w:w="1051"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1,6</w:t>
            </w:r>
          </w:p>
        </w:tc>
        <w:tc>
          <w:tcPr>
            <w:tcW w:w="1134"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0,7</w:t>
            </w:r>
          </w:p>
        </w:tc>
        <w:tc>
          <w:tcPr>
            <w:tcW w:w="1062" w:type="dxa"/>
            <w:tcBorders>
              <w:top w:val="nil"/>
              <w:left w:val="nil"/>
              <w:bottom w:val="nil"/>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0,1</w:t>
            </w:r>
          </w:p>
        </w:tc>
      </w:tr>
      <w:tr w:rsidR="00B903E0" w:rsidRPr="00071923" w:rsidTr="00887151">
        <w:trPr>
          <w:trHeight w:val="300"/>
        </w:trPr>
        <w:tc>
          <w:tcPr>
            <w:tcW w:w="3970" w:type="dxa"/>
            <w:tcBorders>
              <w:top w:val="nil"/>
              <w:left w:val="single" w:sz="12" w:space="0" w:color="auto"/>
              <w:right w:val="single" w:sz="4" w:space="0" w:color="auto"/>
            </w:tcBorders>
            <w:shd w:val="clear" w:color="000000" w:fill="FFFFFF"/>
            <w:noWrap/>
            <w:vAlign w:val="center"/>
            <w:hideMark/>
          </w:tcPr>
          <w:p w:rsidR="00B903E0" w:rsidRPr="00071923" w:rsidRDefault="00B903E0" w:rsidP="00887151">
            <w:pPr>
              <w:spacing w:after="0" w:line="240" w:lineRule="auto"/>
              <w:rPr>
                <w:rFonts w:ascii="Arial" w:eastAsia="Times New Roman" w:hAnsi="Arial" w:cs="Arial"/>
                <w:b/>
                <w:bCs/>
                <w:color w:val="000000"/>
                <w:sz w:val="18"/>
                <w:szCs w:val="18"/>
                <w:lang w:eastAsia="tr-TR"/>
              </w:rPr>
            </w:pPr>
            <w:r w:rsidRPr="00071923">
              <w:rPr>
                <w:rFonts w:ascii="Arial" w:eastAsia="Times New Roman" w:hAnsi="Arial" w:cs="Arial"/>
                <w:b/>
                <w:bCs/>
                <w:color w:val="000000"/>
                <w:sz w:val="18"/>
                <w:szCs w:val="18"/>
                <w:lang w:eastAsia="tr-TR"/>
              </w:rPr>
              <w:t>Faiz Giderleri Hariç KKGD</w:t>
            </w:r>
          </w:p>
        </w:tc>
        <w:tc>
          <w:tcPr>
            <w:tcW w:w="965" w:type="dxa"/>
            <w:tcBorders>
              <w:top w:val="nil"/>
              <w:left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36,3</w:t>
            </w:r>
          </w:p>
        </w:tc>
        <w:tc>
          <w:tcPr>
            <w:tcW w:w="965" w:type="dxa"/>
            <w:tcBorders>
              <w:top w:val="nil"/>
              <w:left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39,7</w:t>
            </w:r>
          </w:p>
        </w:tc>
        <w:tc>
          <w:tcPr>
            <w:tcW w:w="1051" w:type="dxa"/>
            <w:tcBorders>
              <w:top w:val="nil"/>
              <w:left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36,4</w:t>
            </w:r>
          </w:p>
        </w:tc>
        <w:tc>
          <w:tcPr>
            <w:tcW w:w="1134" w:type="dxa"/>
            <w:tcBorders>
              <w:top w:val="nil"/>
              <w:left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40,7</w:t>
            </w:r>
          </w:p>
        </w:tc>
        <w:tc>
          <w:tcPr>
            <w:tcW w:w="1062" w:type="dxa"/>
            <w:tcBorders>
              <w:top w:val="nil"/>
              <w:left w:val="nil"/>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43,3</w:t>
            </w:r>
          </w:p>
        </w:tc>
      </w:tr>
      <w:tr w:rsidR="00B903E0" w:rsidRPr="00071923" w:rsidTr="00887151">
        <w:trPr>
          <w:trHeight w:val="300"/>
        </w:trPr>
        <w:tc>
          <w:tcPr>
            <w:tcW w:w="3970" w:type="dxa"/>
            <w:tcBorders>
              <w:top w:val="nil"/>
              <w:left w:val="single" w:sz="12" w:space="0" w:color="auto"/>
              <w:bottom w:val="single" w:sz="12" w:space="0" w:color="auto"/>
              <w:right w:val="single" w:sz="4" w:space="0" w:color="auto"/>
            </w:tcBorders>
            <w:shd w:val="clear" w:color="000000" w:fill="FFFFFF"/>
            <w:noWrap/>
            <w:vAlign w:val="center"/>
            <w:hideMark/>
          </w:tcPr>
          <w:p w:rsidR="00B903E0" w:rsidRPr="00071923" w:rsidRDefault="00B903E0" w:rsidP="00887151">
            <w:pPr>
              <w:spacing w:after="0" w:line="240" w:lineRule="auto"/>
              <w:rPr>
                <w:rFonts w:ascii="Arial" w:eastAsia="Times New Roman" w:hAnsi="Arial" w:cs="Arial"/>
                <w:b/>
                <w:bCs/>
                <w:color w:val="000000"/>
                <w:sz w:val="18"/>
                <w:szCs w:val="18"/>
                <w:lang w:eastAsia="tr-TR"/>
              </w:rPr>
            </w:pPr>
            <w:r w:rsidRPr="00071923">
              <w:rPr>
                <w:rFonts w:ascii="Arial" w:eastAsia="Times New Roman" w:hAnsi="Arial" w:cs="Arial"/>
                <w:b/>
                <w:bCs/>
                <w:color w:val="000000"/>
                <w:sz w:val="18"/>
                <w:szCs w:val="18"/>
                <w:lang w:eastAsia="tr-TR"/>
              </w:rPr>
              <w:t>Faiz Gideri ve Özelleştirme Geliri Hariç KKGD</w:t>
            </w:r>
          </w:p>
        </w:tc>
        <w:tc>
          <w:tcPr>
            <w:tcW w:w="965" w:type="dxa"/>
            <w:tcBorders>
              <w:top w:val="nil"/>
              <w:left w:val="nil"/>
              <w:bottom w:val="single" w:sz="12" w:space="0" w:color="auto"/>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29,9</w:t>
            </w:r>
          </w:p>
        </w:tc>
        <w:tc>
          <w:tcPr>
            <w:tcW w:w="965" w:type="dxa"/>
            <w:tcBorders>
              <w:top w:val="nil"/>
              <w:left w:val="nil"/>
              <w:bottom w:val="single" w:sz="12" w:space="0" w:color="auto"/>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30,1</w:t>
            </w:r>
          </w:p>
        </w:tc>
        <w:tc>
          <w:tcPr>
            <w:tcW w:w="1051" w:type="dxa"/>
            <w:tcBorders>
              <w:top w:val="nil"/>
              <w:left w:val="nil"/>
              <w:bottom w:val="single" w:sz="12" w:space="0" w:color="auto"/>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26,7</w:t>
            </w:r>
          </w:p>
        </w:tc>
        <w:tc>
          <w:tcPr>
            <w:tcW w:w="1134" w:type="dxa"/>
            <w:tcBorders>
              <w:top w:val="nil"/>
              <w:left w:val="nil"/>
              <w:bottom w:val="single" w:sz="12" w:space="0" w:color="auto"/>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33,2</w:t>
            </w:r>
          </w:p>
        </w:tc>
        <w:tc>
          <w:tcPr>
            <w:tcW w:w="1062" w:type="dxa"/>
            <w:tcBorders>
              <w:top w:val="nil"/>
              <w:left w:val="nil"/>
              <w:bottom w:val="single" w:sz="12" w:space="0" w:color="auto"/>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39,3</w:t>
            </w:r>
          </w:p>
        </w:tc>
      </w:tr>
      <w:tr w:rsidR="00B903E0" w:rsidRPr="00071923" w:rsidTr="00887151">
        <w:trPr>
          <w:trHeight w:val="300"/>
        </w:trPr>
        <w:tc>
          <w:tcPr>
            <w:tcW w:w="3970" w:type="dxa"/>
            <w:tcBorders>
              <w:top w:val="single" w:sz="12" w:space="0" w:color="auto"/>
              <w:left w:val="single" w:sz="12" w:space="0" w:color="auto"/>
              <w:bottom w:val="single" w:sz="4" w:space="0" w:color="auto"/>
              <w:right w:val="single" w:sz="4" w:space="0" w:color="auto"/>
            </w:tcBorders>
            <w:shd w:val="clear" w:color="000000" w:fill="FFFFFF"/>
            <w:noWrap/>
            <w:vAlign w:val="bottom"/>
          </w:tcPr>
          <w:p w:rsidR="00B903E0" w:rsidRPr="00071923" w:rsidRDefault="00B903E0" w:rsidP="00887151">
            <w:pPr>
              <w:spacing w:after="0" w:line="240" w:lineRule="auto"/>
              <w:rPr>
                <w:rFonts w:ascii="Arial" w:eastAsia="Times New Roman" w:hAnsi="Arial" w:cs="Arial"/>
                <w:b/>
                <w:bCs/>
                <w:color w:val="000000"/>
                <w:sz w:val="18"/>
                <w:szCs w:val="18"/>
                <w:lang w:eastAsia="tr-TR"/>
              </w:rPr>
            </w:pPr>
          </w:p>
        </w:tc>
        <w:tc>
          <w:tcPr>
            <w:tcW w:w="5177" w:type="dxa"/>
            <w:gridSpan w:val="5"/>
            <w:tcBorders>
              <w:top w:val="single" w:sz="12" w:space="0" w:color="auto"/>
              <w:left w:val="single" w:sz="4" w:space="0" w:color="auto"/>
              <w:bottom w:val="single" w:sz="4" w:space="0" w:color="auto"/>
              <w:right w:val="single" w:sz="12" w:space="0" w:color="auto"/>
            </w:tcBorders>
            <w:shd w:val="clear" w:color="000000" w:fill="FFFFFF"/>
            <w:noWrap/>
            <w:vAlign w:val="center"/>
          </w:tcPr>
          <w:p w:rsidR="00B903E0" w:rsidRPr="00071923" w:rsidRDefault="00B903E0" w:rsidP="00887151">
            <w:pPr>
              <w:spacing w:after="0" w:line="240" w:lineRule="auto"/>
              <w:jc w:val="center"/>
              <w:rPr>
                <w:rFonts w:ascii="Arial" w:eastAsia="Times New Roman" w:hAnsi="Arial" w:cs="Arial"/>
                <w:bCs/>
                <w:sz w:val="18"/>
                <w:szCs w:val="18"/>
                <w:lang w:eastAsia="tr-TR"/>
              </w:rPr>
            </w:pPr>
            <w:r w:rsidRPr="00071923">
              <w:rPr>
                <w:rFonts w:ascii="Arial" w:hAnsi="Arial" w:cs="Arial"/>
                <w:sz w:val="18"/>
                <w:szCs w:val="18"/>
              </w:rPr>
              <w:t>(</w:t>
            </w:r>
            <w:proofErr w:type="spellStart"/>
            <w:r w:rsidRPr="00071923">
              <w:rPr>
                <w:rFonts w:ascii="Arial" w:hAnsi="Arial" w:cs="Arial"/>
                <w:sz w:val="18"/>
                <w:szCs w:val="18"/>
              </w:rPr>
              <w:t>GSYH’ya</w:t>
            </w:r>
            <w:proofErr w:type="spellEnd"/>
            <w:r w:rsidRPr="00071923">
              <w:rPr>
                <w:rFonts w:ascii="Arial" w:hAnsi="Arial" w:cs="Arial"/>
                <w:sz w:val="18"/>
                <w:szCs w:val="18"/>
              </w:rPr>
              <w:t xml:space="preserve"> Oran, Yüzde)</w:t>
            </w:r>
          </w:p>
        </w:tc>
      </w:tr>
      <w:tr w:rsidR="00B903E0" w:rsidRPr="00071923" w:rsidTr="00887151">
        <w:trPr>
          <w:trHeight w:val="300"/>
        </w:trPr>
        <w:tc>
          <w:tcPr>
            <w:tcW w:w="3970" w:type="dxa"/>
            <w:tcBorders>
              <w:top w:val="single" w:sz="4" w:space="0" w:color="auto"/>
              <w:left w:val="single" w:sz="12"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rPr>
                <w:rFonts w:ascii="Arial" w:eastAsia="Times New Roman" w:hAnsi="Arial" w:cs="Arial"/>
                <w:b/>
                <w:bCs/>
                <w:color w:val="000000"/>
                <w:sz w:val="18"/>
                <w:szCs w:val="18"/>
                <w:lang w:eastAsia="tr-TR"/>
              </w:rPr>
            </w:pPr>
            <w:r w:rsidRPr="00071923">
              <w:rPr>
                <w:rFonts w:ascii="Arial" w:eastAsia="Times New Roman" w:hAnsi="Arial" w:cs="Arial"/>
                <w:b/>
                <w:bCs/>
                <w:color w:val="000000"/>
                <w:sz w:val="18"/>
                <w:szCs w:val="18"/>
                <w:lang w:eastAsia="tr-TR"/>
              </w:rPr>
              <w:t>Kamu Kesimi Genel Dengesi (KKGD)</w:t>
            </w:r>
          </w:p>
        </w:tc>
        <w:tc>
          <w:tcPr>
            <w:tcW w:w="965" w:type="dxa"/>
            <w:tcBorders>
              <w:top w:val="single" w:sz="4" w:space="0" w:color="auto"/>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-1,0</w:t>
            </w:r>
          </w:p>
        </w:tc>
        <w:tc>
          <w:tcPr>
            <w:tcW w:w="965" w:type="dxa"/>
            <w:tcBorders>
              <w:top w:val="single" w:sz="4" w:space="0" w:color="auto"/>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-0,8</w:t>
            </w:r>
          </w:p>
        </w:tc>
        <w:tc>
          <w:tcPr>
            <w:tcW w:w="1051" w:type="dxa"/>
            <w:tcBorders>
              <w:top w:val="single" w:sz="4" w:space="0" w:color="auto"/>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-1,0</w:t>
            </w:r>
          </w:p>
        </w:tc>
        <w:tc>
          <w:tcPr>
            <w:tcW w:w="1134" w:type="dxa"/>
            <w:tcBorders>
              <w:top w:val="single" w:sz="4" w:space="0" w:color="auto"/>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-0,8</w:t>
            </w:r>
          </w:p>
        </w:tc>
        <w:tc>
          <w:tcPr>
            <w:tcW w:w="1062" w:type="dxa"/>
            <w:tcBorders>
              <w:top w:val="single" w:sz="4" w:space="0" w:color="auto"/>
              <w:left w:val="nil"/>
              <w:bottom w:val="nil"/>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-0,5</w:t>
            </w:r>
          </w:p>
        </w:tc>
      </w:tr>
      <w:tr w:rsidR="00B903E0" w:rsidRPr="00071923" w:rsidTr="00887151">
        <w:trPr>
          <w:trHeight w:val="300"/>
        </w:trPr>
        <w:tc>
          <w:tcPr>
            <w:tcW w:w="3970"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071923">
            <w:pPr>
              <w:spacing w:after="0" w:line="240" w:lineRule="auto"/>
              <w:ind w:firstLineChars="200" w:firstLine="361"/>
              <w:rPr>
                <w:rFonts w:ascii="Arial" w:eastAsia="Times New Roman" w:hAnsi="Arial" w:cs="Arial"/>
                <w:b/>
                <w:bCs/>
                <w:color w:val="000000"/>
                <w:sz w:val="18"/>
                <w:szCs w:val="18"/>
                <w:lang w:eastAsia="tr-TR"/>
              </w:rPr>
            </w:pPr>
            <w:r w:rsidRPr="00071923">
              <w:rPr>
                <w:rFonts w:ascii="Arial" w:eastAsia="Times New Roman" w:hAnsi="Arial" w:cs="Arial"/>
                <w:b/>
                <w:bCs/>
                <w:color w:val="000000"/>
                <w:sz w:val="18"/>
                <w:szCs w:val="18"/>
                <w:lang w:eastAsia="tr-TR"/>
              </w:rPr>
              <w:t>Genel Devlet</w:t>
            </w:r>
          </w:p>
        </w:tc>
        <w:tc>
          <w:tcPr>
            <w:tcW w:w="965"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-1,0</w:t>
            </w:r>
          </w:p>
        </w:tc>
        <w:tc>
          <w:tcPr>
            <w:tcW w:w="965"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-1,0</w:t>
            </w:r>
          </w:p>
        </w:tc>
        <w:tc>
          <w:tcPr>
            <w:tcW w:w="1051"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-1,1</w:t>
            </w:r>
          </w:p>
        </w:tc>
        <w:tc>
          <w:tcPr>
            <w:tcW w:w="1134"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-0,8</w:t>
            </w:r>
          </w:p>
        </w:tc>
        <w:tc>
          <w:tcPr>
            <w:tcW w:w="1062" w:type="dxa"/>
            <w:tcBorders>
              <w:top w:val="nil"/>
              <w:left w:val="nil"/>
              <w:bottom w:val="nil"/>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-0,5</w:t>
            </w:r>
          </w:p>
        </w:tc>
      </w:tr>
      <w:tr w:rsidR="00B903E0" w:rsidRPr="00071923" w:rsidTr="00887151">
        <w:trPr>
          <w:trHeight w:val="300"/>
        </w:trPr>
        <w:tc>
          <w:tcPr>
            <w:tcW w:w="3970"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071923">
            <w:pPr>
              <w:spacing w:after="0" w:line="240" w:lineRule="auto"/>
              <w:ind w:firstLineChars="300" w:firstLine="540"/>
              <w:rPr>
                <w:rFonts w:ascii="Arial" w:eastAsia="Times New Roman" w:hAnsi="Arial" w:cs="Arial"/>
                <w:sz w:val="18"/>
                <w:szCs w:val="18"/>
                <w:lang w:eastAsia="tr-TR"/>
              </w:rPr>
            </w:pPr>
            <w:r w:rsidRPr="00071923">
              <w:rPr>
                <w:rFonts w:ascii="Arial" w:eastAsia="Times New Roman" w:hAnsi="Arial" w:cs="Arial"/>
                <w:sz w:val="18"/>
                <w:szCs w:val="18"/>
                <w:lang w:eastAsia="tr-TR"/>
              </w:rPr>
              <w:t>Merkezi Yönetim Bütçesi</w:t>
            </w:r>
          </w:p>
        </w:tc>
        <w:tc>
          <w:tcPr>
            <w:tcW w:w="965"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-2,1</w:t>
            </w:r>
          </w:p>
        </w:tc>
        <w:tc>
          <w:tcPr>
            <w:tcW w:w="965"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-1,2</w:t>
            </w:r>
          </w:p>
        </w:tc>
        <w:tc>
          <w:tcPr>
            <w:tcW w:w="1051"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-1,9</w:t>
            </w:r>
          </w:p>
        </w:tc>
        <w:tc>
          <w:tcPr>
            <w:tcW w:w="1134"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-1,6</w:t>
            </w:r>
          </w:p>
        </w:tc>
        <w:tc>
          <w:tcPr>
            <w:tcW w:w="1062" w:type="dxa"/>
            <w:tcBorders>
              <w:top w:val="nil"/>
              <w:left w:val="nil"/>
              <w:bottom w:val="nil"/>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-1,1</w:t>
            </w:r>
          </w:p>
        </w:tc>
      </w:tr>
      <w:tr w:rsidR="00B903E0" w:rsidRPr="00071923" w:rsidTr="00887151">
        <w:trPr>
          <w:trHeight w:val="300"/>
        </w:trPr>
        <w:tc>
          <w:tcPr>
            <w:tcW w:w="3970"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071923">
            <w:pPr>
              <w:spacing w:after="0" w:line="240" w:lineRule="auto"/>
              <w:ind w:firstLineChars="300" w:firstLine="540"/>
              <w:rPr>
                <w:rFonts w:ascii="Arial" w:eastAsia="Times New Roman" w:hAnsi="Arial" w:cs="Arial"/>
                <w:sz w:val="18"/>
                <w:szCs w:val="18"/>
                <w:lang w:eastAsia="tr-TR"/>
              </w:rPr>
            </w:pPr>
            <w:r w:rsidRPr="00071923">
              <w:rPr>
                <w:rFonts w:ascii="Arial" w:eastAsia="Times New Roman" w:hAnsi="Arial" w:cs="Arial"/>
                <w:sz w:val="18"/>
                <w:szCs w:val="18"/>
                <w:lang w:eastAsia="tr-TR"/>
              </w:rPr>
              <w:t>Mahalli İdareler</w:t>
            </w:r>
          </w:p>
        </w:tc>
        <w:tc>
          <w:tcPr>
            <w:tcW w:w="965"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0,0</w:t>
            </w:r>
          </w:p>
        </w:tc>
        <w:tc>
          <w:tcPr>
            <w:tcW w:w="965"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-0,1</w:t>
            </w:r>
          </w:p>
        </w:tc>
        <w:tc>
          <w:tcPr>
            <w:tcW w:w="1051"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0,0</w:t>
            </w:r>
          </w:p>
        </w:tc>
        <w:tc>
          <w:tcPr>
            <w:tcW w:w="1134"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0,0</w:t>
            </w:r>
          </w:p>
        </w:tc>
        <w:tc>
          <w:tcPr>
            <w:tcW w:w="1062" w:type="dxa"/>
            <w:tcBorders>
              <w:top w:val="nil"/>
              <w:left w:val="nil"/>
              <w:bottom w:val="nil"/>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-0,2</w:t>
            </w:r>
          </w:p>
        </w:tc>
      </w:tr>
      <w:tr w:rsidR="00B903E0" w:rsidRPr="00071923" w:rsidTr="00887151">
        <w:trPr>
          <w:trHeight w:val="300"/>
        </w:trPr>
        <w:tc>
          <w:tcPr>
            <w:tcW w:w="3970"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071923">
            <w:pPr>
              <w:spacing w:after="0" w:line="240" w:lineRule="auto"/>
              <w:ind w:firstLineChars="300" w:firstLine="540"/>
              <w:rPr>
                <w:rFonts w:ascii="Arial" w:eastAsia="Times New Roman" w:hAnsi="Arial" w:cs="Arial"/>
                <w:sz w:val="18"/>
                <w:szCs w:val="18"/>
                <w:lang w:eastAsia="tr-TR"/>
              </w:rPr>
            </w:pPr>
            <w:r w:rsidRPr="00071923">
              <w:rPr>
                <w:rFonts w:ascii="Arial" w:eastAsia="Times New Roman" w:hAnsi="Arial" w:cs="Arial"/>
                <w:sz w:val="18"/>
                <w:szCs w:val="18"/>
                <w:lang w:eastAsia="tr-TR"/>
              </w:rPr>
              <w:t>Bütçe Dışı Fonlar</w:t>
            </w:r>
          </w:p>
        </w:tc>
        <w:tc>
          <w:tcPr>
            <w:tcW w:w="965"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0,5</w:t>
            </w:r>
          </w:p>
        </w:tc>
        <w:tc>
          <w:tcPr>
            <w:tcW w:w="965"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-0,3</w:t>
            </w:r>
          </w:p>
        </w:tc>
        <w:tc>
          <w:tcPr>
            <w:tcW w:w="1051"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0,1</w:t>
            </w:r>
          </w:p>
        </w:tc>
        <w:tc>
          <w:tcPr>
            <w:tcW w:w="1134"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0,1</w:t>
            </w:r>
          </w:p>
        </w:tc>
        <w:tc>
          <w:tcPr>
            <w:tcW w:w="1062" w:type="dxa"/>
            <w:tcBorders>
              <w:top w:val="nil"/>
              <w:left w:val="nil"/>
              <w:bottom w:val="nil"/>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0,1</w:t>
            </w:r>
          </w:p>
        </w:tc>
      </w:tr>
      <w:tr w:rsidR="00B903E0" w:rsidRPr="00071923" w:rsidTr="00887151">
        <w:trPr>
          <w:trHeight w:val="300"/>
        </w:trPr>
        <w:tc>
          <w:tcPr>
            <w:tcW w:w="3970"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071923">
            <w:pPr>
              <w:spacing w:after="0" w:line="240" w:lineRule="auto"/>
              <w:ind w:firstLineChars="300" w:firstLine="540"/>
              <w:rPr>
                <w:rFonts w:ascii="Arial" w:eastAsia="Times New Roman" w:hAnsi="Arial" w:cs="Arial"/>
                <w:sz w:val="18"/>
                <w:szCs w:val="18"/>
                <w:lang w:eastAsia="tr-TR"/>
              </w:rPr>
            </w:pPr>
            <w:r w:rsidRPr="00071923">
              <w:rPr>
                <w:rFonts w:ascii="Arial" w:eastAsia="Times New Roman" w:hAnsi="Arial" w:cs="Arial"/>
                <w:sz w:val="18"/>
                <w:szCs w:val="18"/>
                <w:lang w:eastAsia="tr-TR"/>
              </w:rPr>
              <w:t>İşsizlik Sigortası Fonu</w:t>
            </w:r>
          </w:p>
        </w:tc>
        <w:tc>
          <w:tcPr>
            <w:tcW w:w="965"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0,5</w:t>
            </w:r>
          </w:p>
        </w:tc>
        <w:tc>
          <w:tcPr>
            <w:tcW w:w="965"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0,5</w:t>
            </w:r>
          </w:p>
        </w:tc>
        <w:tc>
          <w:tcPr>
            <w:tcW w:w="1051"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0,6</w:t>
            </w:r>
          </w:p>
        </w:tc>
        <w:tc>
          <w:tcPr>
            <w:tcW w:w="1134"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0,6</w:t>
            </w:r>
          </w:p>
        </w:tc>
        <w:tc>
          <w:tcPr>
            <w:tcW w:w="1062" w:type="dxa"/>
            <w:tcBorders>
              <w:top w:val="nil"/>
              <w:left w:val="nil"/>
              <w:bottom w:val="nil"/>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0,6</w:t>
            </w:r>
          </w:p>
        </w:tc>
      </w:tr>
      <w:tr w:rsidR="00B903E0" w:rsidRPr="00071923" w:rsidTr="00887151">
        <w:trPr>
          <w:trHeight w:val="300"/>
        </w:trPr>
        <w:tc>
          <w:tcPr>
            <w:tcW w:w="3970"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071923">
            <w:pPr>
              <w:spacing w:after="0" w:line="240" w:lineRule="auto"/>
              <w:ind w:firstLineChars="300" w:firstLine="540"/>
              <w:rPr>
                <w:rFonts w:ascii="Arial" w:eastAsia="Times New Roman" w:hAnsi="Arial" w:cs="Arial"/>
                <w:sz w:val="18"/>
                <w:szCs w:val="18"/>
                <w:lang w:eastAsia="tr-TR"/>
              </w:rPr>
            </w:pPr>
            <w:r w:rsidRPr="00071923">
              <w:rPr>
                <w:rFonts w:ascii="Arial" w:eastAsia="Times New Roman" w:hAnsi="Arial" w:cs="Arial"/>
                <w:sz w:val="18"/>
                <w:szCs w:val="18"/>
                <w:lang w:eastAsia="tr-TR"/>
              </w:rPr>
              <w:t>Sosyal Güvenlik Kuruluşları</w:t>
            </w:r>
          </w:p>
        </w:tc>
        <w:tc>
          <w:tcPr>
            <w:tcW w:w="965"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0,0</w:t>
            </w:r>
          </w:p>
        </w:tc>
        <w:tc>
          <w:tcPr>
            <w:tcW w:w="965"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-0,4</w:t>
            </w:r>
          </w:p>
        </w:tc>
        <w:tc>
          <w:tcPr>
            <w:tcW w:w="1051"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-0,4</w:t>
            </w:r>
          </w:p>
        </w:tc>
        <w:tc>
          <w:tcPr>
            <w:tcW w:w="1134"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-0,5</w:t>
            </w:r>
          </w:p>
        </w:tc>
        <w:tc>
          <w:tcPr>
            <w:tcW w:w="1062" w:type="dxa"/>
            <w:tcBorders>
              <w:top w:val="nil"/>
              <w:left w:val="nil"/>
              <w:bottom w:val="nil"/>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-0,6</w:t>
            </w:r>
          </w:p>
        </w:tc>
      </w:tr>
      <w:tr w:rsidR="00B903E0" w:rsidRPr="00071923" w:rsidTr="00887151">
        <w:trPr>
          <w:trHeight w:val="300"/>
        </w:trPr>
        <w:tc>
          <w:tcPr>
            <w:tcW w:w="3970"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071923">
            <w:pPr>
              <w:spacing w:after="0" w:line="240" w:lineRule="auto"/>
              <w:ind w:firstLineChars="300" w:firstLine="540"/>
              <w:rPr>
                <w:rFonts w:ascii="Arial" w:eastAsia="Times New Roman" w:hAnsi="Arial" w:cs="Arial"/>
                <w:sz w:val="18"/>
                <w:szCs w:val="18"/>
                <w:lang w:eastAsia="tr-TR"/>
              </w:rPr>
            </w:pPr>
            <w:r w:rsidRPr="00071923">
              <w:rPr>
                <w:rFonts w:ascii="Arial" w:eastAsia="Times New Roman" w:hAnsi="Arial" w:cs="Arial"/>
                <w:sz w:val="18"/>
                <w:szCs w:val="18"/>
                <w:lang w:eastAsia="tr-TR"/>
              </w:rPr>
              <w:t>Genel Sağlık Sigortası</w:t>
            </w:r>
          </w:p>
        </w:tc>
        <w:tc>
          <w:tcPr>
            <w:tcW w:w="965"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0,0</w:t>
            </w:r>
          </w:p>
        </w:tc>
        <w:tc>
          <w:tcPr>
            <w:tcW w:w="965"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0,4</w:t>
            </w:r>
          </w:p>
        </w:tc>
        <w:tc>
          <w:tcPr>
            <w:tcW w:w="1051"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0,4</w:t>
            </w:r>
          </w:p>
        </w:tc>
        <w:tc>
          <w:tcPr>
            <w:tcW w:w="1134"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0,5</w:t>
            </w:r>
          </w:p>
        </w:tc>
        <w:tc>
          <w:tcPr>
            <w:tcW w:w="1062" w:type="dxa"/>
            <w:tcBorders>
              <w:top w:val="nil"/>
              <w:left w:val="nil"/>
              <w:bottom w:val="nil"/>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0,6</w:t>
            </w:r>
          </w:p>
        </w:tc>
      </w:tr>
      <w:tr w:rsidR="00B903E0" w:rsidRPr="00071923" w:rsidTr="00887151">
        <w:trPr>
          <w:trHeight w:val="300"/>
        </w:trPr>
        <w:tc>
          <w:tcPr>
            <w:tcW w:w="3970"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071923">
            <w:pPr>
              <w:spacing w:after="0" w:line="240" w:lineRule="auto"/>
              <w:ind w:firstLineChars="300" w:firstLine="540"/>
              <w:rPr>
                <w:rFonts w:ascii="Arial" w:eastAsia="Times New Roman" w:hAnsi="Arial" w:cs="Arial"/>
                <w:sz w:val="18"/>
                <w:szCs w:val="18"/>
                <w:lang w:eastAsia="tr-TR"/>
              </w:rPr>
            </w:pPr>
            <w:r w:rsidRPr="00071923">
              <w:rPr>
                <w:rFonts w:ascii="Arial" w:eastAsia="Times New Roman" w:hAnsi="Arial" w:cs="Arial"/>
                <w:sz w:val="18"/>
                <w:szCs w:val="18"/>
                <w:lang w:eastAsia="tr-TR"/>
              </w:rPr>
              <w:t>Döner Sermayeli Kuruluşlar</w:t>
            </w:r>
          </w:p>
        </w:tc>
        <w:tc>
          <w:tcPr>
            <w:tcW w:w="965"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0,0</w:t>
            </w:r>
          </w:p>
        </w:tc>
        <w:tc>
          <w:tcPr>
            <w:tcW w:w="965"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0,1</w:t>
            </w:r>
          </w:p>
        </w:tc>
        <w:tc>
          <w:tcPr>
            <w:tcW w:w="1051"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0,1</w:t>
            </w:r>
          </w:p>
        </w:tc>
        <w:tc>
          <w:tcPr>
            <w:tcW w:w="1134"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0,1</w:t>
            </w:r>
          </w:p>
        </w:tc>
        <w:tc>
          <w:tcPr>
            <w:tcW w:w="1062" w:type="dxa"/>
            <w:tcBorders>
              <w:top w:val="nil"/>
              <w:left w:val="nil"/>
              <w:bottom w:val="nil"/>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0,1</w:t>
            </w:r>
          </w:p>
        </w:tc>
      </w:tr>
      <w:tr w:rsidR="00B903E0" w:rsidRPr="00071923" w:rsidTr="00887151">
        <w:trPr>
          <w:trHeight w:val="300"/>
        </w:trPr>
        <w:tc>
          <w:tcPr>
            <w:tcW w:w="3970"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071923">
            <w:pPr>
              <w:spacing w:after="0" w:line="240" w:lineRule="auto"/>
              <w:ind w:firstLineChars="200" w:firstLine="361"/>
              <w:rPr>
                <w:rFonts w:ascii="Arial" w:eastAsia="Times New Roman" w:hAnsi="Arial" w:cs="Arial"/>
                <w:b/>
                <w:bCs/>
                <w:color w:val="000000"/>
                <w:sz w:val="18"/>
                <w:szCs w:val="18"/>
                <w:lang w:eastAsia="tr-TR"/>
              </w:rPr>
            </w:pPr>
            <w:r w:rsidRPr="00071923">
              <w:rPr>
                <w:rFonts w:ascii="Arial" w:eastAsia="Times New Roman" w:hAnsi="Arial" w:cs="Arial"/>
                <w:b/>
                <w:bCs/>
                <w:color w:val="000000"/>
                <w:sz w:val="18"/>
                <w:szCs w:val="18"/>
                <w:lang w:eastAsia="tr-TR"/>
              </w:rPr>
              <w:t>KİT'ler</w:t>
            </w:r>
          </w:p>
        </w:tc>
        <w:tc>
          <w:tcPr>
            <w:tcW w:w="965"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0,1</w:t>
            </w:r>
          </w:p>
        </w:tc>
        <w:tc>
          <w:tcPr>
            <w:tcW w:w="965"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0,2</w:t>
            </w:r>
          </w:p>
        </w:tc>
        <w:tc>
          <w:tcPr>
            <w:tcW w:w="1051"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0,1</w:t>
            </w:r>
          </w:p>
        </w:tc>
        <w:tc>
          <w:tcPr>
            <w:tcW w:w="1134"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0,0</w:t>
            </w:r>
          </w:p>
        </w:tc>
        <w:tc>
          <w:tcPr>
            <w:tcW w:w="1062" w:type="dxa"/>
            <w:tcBorders>
              <w:top w:val="nil"/>
              <w:left w:val="nil"/>
              <w:bottom w:val="nil"/>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0,0</w:t>
            </w:r>
          </w:p>
        </w:tc>
      </w:tr>
      <w:tr w:rsidR="00B903E0" w:rsidRPr="00071923" w:rsidTr="00887151">
        <w:trPr>
          <w:trHeight w:val="300"/>
        </w:trPr>
        <w:tc>
          <w:tcPr>
            <w:tcW w:w="3970"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rPr>
                <w:rFonts w:ascii="Arial" w:eastAsia="Times New Roman" w:hAnsi="Arial" w:cs="Arial"/>
                <w:b/>
                <w:bCs/>
                <w:color w:val="000000"/>
                <w:sz w:val="18"/>
                <w:szCs w:val="18"/>
                <w:lang w:eastAsia="tr-TR"/>
              </w:rPr>
            </w:pPr>
            <w:r w:rsidRPr="00071923">
              <w:rPr>
                <w:rFonts w:ascii="Arial" w:eastAsia="Times New Roman" w:hAnsi="Arial" w:cs="Arial"/>
                <w:b/>
                <w:bCs/>
                <w:color w:val="000000"/>
                <w:sz w:val="18"/>
                <w:szCs w:val="18"/>
                <w:lang w:eastAsia="tr-TR"/>
              </w:rPr>
              <w:t>Faiz Giderleri Hariç KKGD</w:t>
            </w:r>
          </w:p>
        </w:tc>
        <w:tc>
          <w:tcPr>
            <w:tcW w:w="965"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2,6</w:t>
            </w:r>
          </w:p>
        </w:tc>
        <w:tc>
          <w:tcPr>
            <w:tcW w:w="965"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2,5</w:t>
            </w:r>
          </w:p>
        </w:tc>
        <w:tc>
          <w:tcPr>
            <w:tcW w:w="1051"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2,1</w:t>
            </w:r>
          </w:p>
        </w:tc>
        <w:tc>
          <w:tcPr>
            <w:tcW w:w="1134"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2,1</w:t>
            </w:r>
          </w:p>
        </w:tc>
        <w:tc>
          <w:tcPr>
            <w:tcW w:w="1062" w:type="dxa"/>
            <w:tcBorders>
              <w:top w:val="nil"/>
              <w:left w:val="nil"/>
              <w:bottom w:val="nil"/>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2,1</w:t>
            </w:r>
          </w:p>
        </w:tc>
      </w:tr>
      <w:tr w:rsidR="00B903E0" w:rsidRPr="00071923" w:rsidTr="00887151">
        <w:trPr>
          <w:trHeight w:val="300"/>
        </w:trPr>
        <w:tc>
          <w:tcPr>
            <w:tcW w:w="3970" w:type="dxa"/>
            <w:tcBorders>
              <w:top w:val="nil"/>
              <w:left w:val="single" w:sz="12" w:space="0" w:color="auto"/>
              <w:bottom w:val="single" w:sz="12" w:space="0" w:color="auto"/>
              <w:right w:val="single" w:sz="4" w:space="0" w:color="auto"/>
            </w:tcBorders>
            <w:shd w:val="clear" w:color="000000" w:fill="FFFFFF"/>
            <w:noWrap/>
            <w:vAlign w:val="center"/>
            <w:hideMark/>
          </w:tcPr>
          <w:p w:rsidR="00B903E0" w:rsidRPr="00071923" w:rsidRDefault="00B903E0" w:rsidP="00887151">
            <w:pPr>
              <w:spacing w:after="0" w:line="240" w:lineRule="auto"/>
              <w:rPr>
                <w:rFonts w:ascii="Arial" w:eastAsia="Times New Roman" w:hAnsi="Arial" w:cs="Arial"/>
                <w:b/>
                <w:bCs/>
                <w:color w:val="000000"/>
                <w:sz w:val="18"/>
                <w:szCs w:val="18"/>
                <w:lang w:eastAsia="tr-TR"/>
              </w:rPr>
            </w:pPr>
            <w:r w:rsidRPr="00071923">
              <w:rPr>
                <w:rFonts w:ascii="Arial" w:eastAsia="Times New Roman" w:hAnsi="Arial" w:cs="Arial"/>
                <w:b/>
                <w:bCs/>
                <w:color w:val="000000"/>
                <w:sz w:val="18"/>
                <w:szCs w:val="18"/>
                <w:lang w:eastAsia="tr-TR"/>
              </w:rPr>
              <w:t>Faiz Gideri ve Özelleştirme Geliri Hariç KKGD</w:t>
            </w:r>
          </w:p>
        </w:tc>
        <w:tc>
          <w:tcPr>
            <w:tcW w:w="965" w:type="dxa"/>
            <w:tcBorders>
              <w:top w:val="nil"/>
              <w:left w:val="nil"/>
              <w:bottom w:val="single" w:sz="12" w:space="0" w:color="auto"/>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2,1</w:t>
            </w:r>
          </w:p>
        </w:tc>
        <w:tc>
          <w:tcPr>
            <w:tcW w:w="965" w:type="dxa"/>
            <w:tcBorders>
              <w:top w:val="nil"/>
              <w:left w:val="nil"/>
              <w:bottom w:val="single" w:sz="12" w:space="0" w:color="auto"/>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1,9</w:t>
            </w:r>
          </w:p>
        </w:tc>
        <w:tc>
          <w:tcPr>
            <w:tcW w:w="1051" w:type="dxa"/>
            <w:tcBorders>
              <w:top w:val="nil"/>
              <w:left w:val="nil"/>
              <w:bottom w:val="single" w:sz="12" w:space="0" w:color="auto"/>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1,6</w:t>
            </w:r>
          </w:p>
        </w:tc>
        <w:tc>
          <w:tcPr>
            <w:tcW w:w="1134" w:type="dxa"/>
            <w:tcBorders>
              <w:top w:val="nil"/>
              <w:left w:val="nil"/>
              <w:bottom w:val="single" w:sz="12" w:space="0" w:color="auto"/>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1,8</w:t>
            </w:r>
          </w:p>
        </w:tc>
        <w:tc>
          <w:tcPr>
            <w:tcW w:w="1062" w:type="dxa"/>
            <w:tcBorders>
              <w:top w:val="nil"/>
              <w:left w:val="nil"/>
              <w:bottom w:val="single" w:sz="12" w:space="0" w:color="auto"/>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1,9</w:t>
            </w:r>
          </w:p>
        </w:tc>
      </w:tr>
    </w:tbl>
    <w:p w:rsidR="00B903E0" w:rsidRPr="00071923" w:rsidRDefault="00B903E0" w:rsidP="00B903E0">
      <w:pPr>
        <w:spacing w:line="240" w:lineRule="auto"/>
        <w:jc w:val="both"/>
        <w:rPr>
          <w:rFonts w:ascii="Arial" w:hAnsi="Arial" w:cs="Arial"/>
          <w:sz w:val="20"/>
        </w:rPr>
      </w:pPr>
      <w:r w:rsidRPr="00071923">
        <w:rPr>
          <w:rFonts w:ascii="Arial" w:hAnsi="Arial" w:cs="Arial"/>
          <w:sz w:val="16"/>
          <w:szCs w:val="18"/>
        </w:rPr>
        <w:t>(1) Kamu kesimi; merkezi yönetim bütçesi kapsamındaki kurum ve kuruluşlar, mahalli idareler, sosyal güvenlik kuruluşları ile GSS, fonlar, döner sermayeler, İşsizlik Sigortası Fonu ve KİT’lerden oluşmaktadır.</w:t>
      </w:r>
    </w:p>
    <w:p w:rsidR="00B903E0" w:rsidRPr="00071923" w:rsidRDefault="00B903E0" w:rsidP="00B903E0">
      <w:pPr>
        <w:rPr>
          <w:rFonts w:ascii="Arial" w:hAnsi="Arial" w:cs="Arial"/>
        </w:rPr>
      </w:pPr>
    </w:p>
    <w:p w:rsidR="00B903E0" w:rsidRPr="00071923" w:rsidRDefault="00B903E0" w:rsidP="00B903E0">
      <w:pPr>
        <w:rPr>
          <w:rFonts w:ascii="Arial" w:hAnsi="Arial" w:cs="Arial"/>
        </w:rPr>
      </w:pPr>
    </w:p>
    <w:p w:rsidR="00B903E0" w:rsidRPr="00071923" w:rsidRDefault="00B903E0" w:rsidP="00B903E0">
      <w:pPr>
        <w:rPr>
          <w:rFonts w:ascii="Arial" w:hAnsi="Arial" w:cs="Arial"/>
        </w:rPr>
      </w:pPr>
    </w:p>
    <w:p w:rsidR="00B903E0" w:rsidRPr="00071923" w:rsidRDefault="00B903E0" w:rsidP="00B903E0">
      <w:pPr>
        <w:rPr>
          <w:rFonts w:ascii="Arial" w:hAnsi="Arial" w:cs="Arial"/>
        </w:rPr>
      </w:pPr>
    </w:p>
    <w:p w:rsidR="00B903E0" w:rsidRPr="00071923" w:rsidRDefault="00B903E0" w:rsidP="00B903E0">
      <w:pPr>
        <w:rPr>
          <w:rFonts w:ascii="Arial" w:hAnsi="Arial" w:cs="Arial"/>
        </w:rPr>
      </w:pPr>
    </w:p>
    <w:p w:rsidR="00B903E0" w:rsidRPr="00071923" w:rsidRDefault="00B903E0" w:rsidP="00B903E0">
      <w:pPr>
        <w:rPr>
          <w:rFonts w:ascii="Arial" w:hAnsi="Arial" w:cs="Arial"/>
        </w:rPr>
      </w:pPr>
    </w:p>
    <w:p w:rsidR="00B903E0" w:rsidRPr="00071923" w:rsidRDefault="00B903E0" w:rsidP="00B903E0">
      <w:pPr>
        <w:rPr>
          <w:rFonts w:ascii="Arial" w:hAnsi="Arial" w:cs="Arial"/>
        </w:rPr>
      </w:pPr>
    </w:p>
    <w:p w:rsidR="00B903E0" w:rsidRPr="00071923" w:rsidRDefault="00B903E0" w:rsidP="00B903E0">
      <w:pPr>
        <w:rPr>
          <w:rFonts w:ascii="Arial" w:hAnsi="Arial" w:cs="Arial"/>
        </w:rPr>
      </w:pPr>
    </w:p>
    <w:p w:rsidR="00B903E0" w:rsidRPr="00071923" w:rsidRDefault="00B903E0" w:rsidP="00B903E0">
      <w:pPr>
        <w:rPr>
          <w:rFonts w:ascii="Arial" w:hAnsi="Arial" w:cs="Arial"/>
        </w:rPr>
      </w:pPr>
    </w:p>
    <w:p w:rsidR="00B903E0" w:rsidRPr="00071923" w:rsidRDefault="00B903E0" w:rsidP="00B903E0">
      <w:pPr>
        <w:spacing w:after="0" w:line="240" w:lineRule="auto"/>
        <w:jc w:val="right"/>
        <w:rPr>
          <w:rFonts w:ascii="Arial" w:hAnsi="Arial" w:cs="Arial"/>
          <w:sz w:val="16"/>
        </w:rPr>
      </w:pPr>
    </w:p>
    <w:tbl>
      <w:tblPr>
        <w:tblW w:w="9147" w:type="dxa"/>
        <w:tblInd w:w="65" w:type="dxa"/>
        <w:tblCellMar>
          <w:left w:w="70" w:type="dxa"/>
          <w:right w:w="70" w:type="dxa"/>
        </w:tblCellMar>
        <w:tblLook w:val="04A0" w:firstRow="1" w:lastRow="0" w:firstColumn="1" w:lastColumn="0" w:noHBand="0" w:noVBand="1"/>
      </w:tblPr>
      <w:tblGrid>
        <w:gridCol w:w="3959"/>
        <w:gridCol w:w="962"/>
        <w:gridCol w:w="962"/>
        <w:gridCol w:w="1068"/>
        <w:gridCol w:w="1134"/>
        <w:gridCol w:w="1062"/>
      </w:tblGrid>
      <w:tr w:rsidR="00B903E0" w:rsidRPr="00071923" w:rsidTr="00887151">
        <w:trPr>
          <w:trHeight w:val="300"/>
        </w:trPr>
        <w:tc>
          <w:tcPr>
            <w:tcW w:w="9147" w:type="dxa"/>
            <w:gridSpan w:val="6"/>
            <w:tcBorders>
              <w:bottom w:val="single" w:sz="12" w:space="0" w:color="auto"/>
            </w:tcBorders>
            <w:shd w:val="clear" w:color="000000" w:fill="FFFFFF"/>
            <w:noWrap/>
            <w:vAlign w:val="bottom"/>
          </w:tcPr>
          <w:p w:rsidR="00B903E0" w:rsidRPr="00071923" w:rsidRDefault="00B903E0" w:rsidP="00887151">
            <w:pPr>
              <w:spacing w:after="0" w:line="240" w:lineRule="auto"/>
              <w:rPr>
                <w:rFonts w:ascii="Arial" w:eastAsia="Times New Roman" w:hAnsi="Arial" w:cs="Arial"/>
                <w:b/>
                <w:bCs/>
                <w:sz w:val="16"/>
                <w:szCs w:val="16"/>
                <w:lang w:eastAsia="tr-TR"/>
              </w:rPr>
            </w:pPr>
            <w:r w:rsidRPr="00071923">
              <w:rPr>
                <w:rFonts w:ascii="Arial" w:hAnsi="Arial" w:cs="Arial"/>
                <w:b/>
              </w:rPr>
              <w:t>Ek Tablo 3: Program Tanımlı Kamu Kesimi Genel Dengesi (1)</w:t>
            </w:r>
          </w:p>
        </w:tc>
      </w:tr>
      <w:tr w:rsidR="00B903E0" w:rsidRPr="00071923" w:rsidTr="00887151">
        <w:trPr>
          <w:trHeight w:val="300"/>
        </w:trPr>
        <w:tc>
          <w:tcPr>
            <w:tcW w:w="3959" w:type="dxa"/>
            <w:tcBorders>
              <w:top w:val="single" w:sz="12" w:space="0" w:color="auto"/>
              <w:left w:val="single" w:sz="12" w:space="0" w:color="auto"/>
              <w:right w:val="nil"/>
            </w:tcBorders>
            <w:shd w:val="clear" w:color="000000" w:fill="FFFFFF"/>
            <w:noWrap/>
            <w:vAlign w:val="bottom"/>
            <w:hideMark/>
          </w:tcPr>
          <w:p w:rsidR="00B903E0" w:rsidRPr="00071923" w:rsidRDefault="00B903E0" w:rsidP="00887151">
            <w:pPr>
              <w:spacing w:after="0" w:line="240" w:lineRule="auto"/>
              <w:rPr>
                <w:rFonts w:ascii="Arial" w:eastAsia="Times New Roman" w:hAnsi="Arial" w:cs="Arial"/>
                <w:sz w:val="18"/>
                <w:szCs w:val="18"/>
                <w:lang w:eastAsia="tr-TR"/>
              </w:rPr>
            </w:pPr>
            <w:r w:rsidRPr="00071923">
              <w:rPr>
                <w:rFonts w:ascii="Arial" w:eastAsia="Times New Roman" w:hAnsi="Arial" w:cs="Arial"/>
                <w:sz w:val="18"/>
                <w:szCs w:val="18"/>
                <w:lang w:eastAsia="tr-TR"/>
              </w:rPr>
              <w:t> </w:t>
            </w:r>
          </w:p>
        </w:tc>
        <w:tc>
          <w:tcPr>
            <w:tcW w:w="962" w:type="dxa"/>
            <w:tcBorders>
              <w:top w:val="single" w:sz="12" w:space="0" w:color="auto"/>
              <w:left w:val="single" w:sz="4" w:space="0" w:color="auto"/>
              <w:right w:val="single" w:sz="4" w:space="0" w:color="auto"/>
            </w:tcBorders>
            <w:shd w:val="clear" w:color="000000" w:fill="FFFFFF"/>
            <w:noWrap/>
            <w:vAlign w:val="center"/>
            <w:hideMark/>
          </w:tcPr>
          <w:p w:rsidR="00B903E0" w:rsidRPr="00071923" w:rsidRDefault="00B903E0" w:rsidP="00887151">
            <w:pPr>
              <w:spacing w:after="0" w:line="240" w:lineRule="auto"/>
              <w:jc w:val="center"/>
              <w:rPr>
                <w:rFonts w:ascii="Arial" w:eastAsia="Times New Roman" w:hAnsi="Arial" w:cs="Arial"/>
                <w:b/>
                <w:bCs/>
                <w:sz w:val="18"/>
                <w:szCs w:val="18"/>
                <w:lang w:eastAsia="tr-TR"/>
              </w:rPr>
            </w:pPr>
          </w:p>
        </w:tc>
        <w:tc>
          <w:tcPr>
            <w:tcW w:w="962" w:type="dxa"/>
            <w:tcBorders>
              <w:top w:val="single" w:sz="12" w:space="0" w:color="auto"/>
              <w:left w:val="nil"/>
              <w:right w:val="nil"/>
            </w:tcBorders>
            <w:shd w:val="clear" w:color="000000" w:fill="FFFFFF"/>
            <w:noWrap/>
            <w:vAlign w:val="center"/>
            <w:hideMark/>
          </w:tcPr>
          <w:p w:rsidR="00B903E0" w:rsidRPr="00071923" w:rsidRDefault="00B903E0" w:rsidP="00887151">
            <w:pPr>
              <w:spacing w:after="0" w:line="240" w:lineRule="auto"/>
              <w:jc w:val="center"/>
              <w:rPr>
                <w:rFonts w:ascii="Arial" w:eastAsia="Times New Roman" w:hAnsi="Arial" w:cs="Arial"/>
                <w:b/>
                <w:bCs/>
                <w:sz w:val="18"/>
                <w:szCs w:val="18"/>
                <w:lang w:eastAsia="tr-TR"/>
              </w:rPr>
            </w:pPr>
          </w:p>
        </w:tc>
        <w:tc>
          <w:tcPr>
            <w:tcW w:w="3264" w:type="dxa"/>
            <w:gridSpan w:val="3"/>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B903E0" w:rsidRPr="00071923" w:rsidRDefault="00B903E0" w:rsidP="00887151">
            <w:pPr>
              <w:spacing w:after="0" w:line="240" w:lineRule="auto"/>
              <w:jc w:val="center"/>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OVP</w:t>
            </w:r>
          </w:p>
        </w:tc>
      </w:tr>
      <w:tr w:rsidR="00B903E0" w:rsidRPr="00071923" w:rsidTr="00887151">
        <w:trPr>
          <w:trHeight w:val="300"/>
        </w:trPr>
        <w:tc>
          <w:tcPr>
            <w:tcW w:w="3959" w:type="dxa"/>
            <w:tcBorders>
              <w:top w:val="nil"/>
              <w:left w:val="single" w:sz="12" w:space="0" w:color="auto"/>
              <w:bottom w:val="single" w:sz="12" w:space="0" w:color="auto"/>
              <w:right w:val="nil"/>
            </w:tcBorders>
            <w:shd w:val="clear" w:color="000000" w:fill="FFFFFF"/>
            <w:noWrap/>
            <w:vAlign w:val="bottom"/>
            <w:hideMark/>
          </w:tcPr>
          <w:p w:rsidR="00B903E0" w:rsidRPr="00071923" w:rsidRDefault="00B903E0" w:rsidP="00887151">
            <w:pPr>
              <w:spacing w:after="0" w:line="240" w:lineRule="auto"/>
              <w:rPr>
                <w:rFonts w:ascii="Arial" w:eastAsia="Times New Roman" w:hAnsi="Arial" w:cs="Arial"/>
                <w:sz w:val="18"/>
                <w:szCs w:val="18"/>
                <w:lang w:eastAsia="tr-TR"/>
              </w:rPr>
            </w:pPr>
            <w:r w:rsidRPr="00071923">
              <w:rPr>
                <w:rFonts w:ascii="Arial" w:eastAsia="Times New Roman" w:hAnsi="Arial" w:cs="Arial"/>
                <w:sz w:val="18"/>
                <w:szCs w:val="18"/>
                <w:lang w:eastAsia="tr-TR"/>
              </w:rPr>
              <w:t> </w:t>
            </w:r>
          </w:p>
        </w:tc>
        <w:tc>
          <w:tcPr>
            <w:tcW w:w="962" w:type="dxa"/>
            <w:tcBorders>
              <w:top w:val="nil"/>
              <w:left w:val="single" w:sz="4" w:space="0" w:color="auto"/>
              <w:bottom w:val="single" w:sz="12" w:space="0" w:color="auto"/>
              <w:right w:val="single" w:sz="4" w:space="0" w:color="auto"/>
            </w:tcBorders>
            <w:shd w:val="clear" w:color="000000" w:fill="FFFFFF"/>
            <w:noWrap/>
            <w:vAlign w:val="center"/>
            <w:hideMark/>
          </w:tcPr>
          <w:p w:rsidR="00B903E0" w:rsidRPr="00071923" w:rsidRDefault="00B903E0" w:rsidP="00B903E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2012</w:t>
            </w:r>
          </w:p>
        </w:tc>
        <w:tc>
          <w:tcPr>
            <w:tcW w:w="962" w:type="dxa"/>
            <w:tcBorders>
              <w:top w:val="nil"/>
              <w:left w:val="nil"/>
              <w:bottom w:val="single" w:sz="12" w:space="0" w:color="auto"/>
              <w:right w:val="single" w:sz="4" w:space="0" w:color="auto"/>
            </w:tcBorders>
            <w:shd w:val="clear" w:color="000000" w:fill="FFFFFF"/>
            <w:noWrap/>
            <w:vAlign w:val="center"/>
            <w:hideMark/>
          </w:tcPr>
          <w:p w:rsidR="00B903E0" w:rsidRPr="00071923" w:rsidRDefault="00B903E0" w:rsidP="00B903E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2013 GT</w:t>
            </w:r>
          </w:p>
        </w:tc>
        <w:tc>
          <w:tcPr>
            <w:tcW w:w="1068" w:type="dxa"/>
            <w:tcBorders>
              <w:top w:val="single" w:sz="4" w:space="0" w:color="auto"/>
              <w:left w:val="nil"/>
              <w:bottom w:val="single" w:sz="12" w:space="0" w:color="auto"/>
              <w:right w:val="single" w:sz="4" w:space="0" w:color="auto"/>
            </w:tcBorders>
            <w:shd w:val="clear" w:color="000000" w:fill="FFFFFF"/>
            <w:noWrap/>
            <w:vAlign w:val="center"/>
            <w:hideMark/>
          </w:tcPr>
          <w:p w:rsidR="00B903E0" w:rsidRPr="00071923" w:rsidRDefault="00B903E0" w:rsidP="00B903E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2014</w:t>
            </w:r>
          </w:p>
        </w:tc>
        <w:tc>
          <w:tcPr>
            <w:tcW w:w="1134" w:type="dxa"/>
            <w:tcBorders>
              <w:top w:val="single" w:sz="4" w:space="0" w:color="auto"/>
              <w:left w:val="nil"/>
              <w:bottom w:val="single" w:sz="12" w:space="0" w:color="auto"/>
              <w:right w:val="single" w:sz="4" w:space="0" w:color="auto"/>
            </w:tcBorders>
            <w:shd w:val="clear" w:color="000000" w:fill="FFFFFF"/>
            <w:noWrap/>
            <w:vAlign w:val="center"/>
            <w:hideMark/>
          </w:tcPr>
          <w:p w:rsidR="00B903E0" w:rsidRPr="00071923" w:rsidRDefault="00B903E0" w:rsidP="00B903E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2015</w:t>
            </w:r>
          </w:p>
        </w:tc>
        <w:tc>
          <w:tcPr>
            <w:tcW w:w="1062" w:type="dxa"/>
            <w:tcBorders>
              <w:top w:val="single" w:sz="4" w:space="0" w:color="auto"/>
              <w:left w:val="nil"/>
              <w:bottom w:val="single" w:sz="12" w:space="0" w:color="auto"/>
              <w:right w:val="single" w:sz="12" w:space="0" w:color="auto"/>
            </w:tcBorders>
            <w:shd w:val="clear" w:color="000000" w:fill="FFFFFF"/>
            <w:noWrap/>
            <w:vAlign w:val="center"/>
            <w:hideMark/>
          </w:tcPr>
          <w:p w:rsidR="00B903E0" w:rsidRPr="00071923" w:rsidRDefault="00B903E0" w:rsidP="00B903E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2016</w:t>
            </w:r>
          </w:p>
        </w:tc>
      </w:tr>
      <w:tr w:rsidR="00B903E0" w:rsidRPr="00071923" w:rsidTr="00887151">
        <w:trPr>
          <w:trHeight w:val="300"/>
        </w:trPr>
        <w:tc>
          <w:tcPr>
            <w:tcW w:w="3959" w:type="dxa"/>
            <w:tcBorders>
              <w:top w:val="single" w:sz="12" w:space="0" w:color="auto"/>
              <w:left w:val="single" w:sz="12" w:space="0" w:color="auto"/>
              <w:bottom w:val="nil"/>
              <w:right w:val="single" w:sz="4" w:space="0" w:color="auto"/>
            </w:tcBorders>
            <w:shd w:val="clear" w:color="000000" w:fill="FFFFFF"/>
            <w:noWrap/>
            <w:vAlign w:val="bottom"/>
          </w:tcPr>
          <w:p w:rsidR="00B903E0" w:rsidRPr="00071923" w:rsidRDefault="00B903E0" w:rsidP="00887151">
            <w:pPr>
              <w:spacing w:after="0" w:line="240" w:lineRule="auto"/>
              <w:rPr>
                <w:rFonts w:ascii="Arial" w:eastAsia="Times New Roman" w:hAnsi="Arial" w:cs="Arial"/>
                <w:b/>
                <w:bCs/>
                <w:color w:val="000000"/>
                <w:sz w:val="18"/>
                <w:szCs w:val="18"/>
                <w:lang w:eastAsia="tr-TR"/>
              </w:rPr>
            </w:pPr>
          </w:p>
        </w:tc>
        <w:tc>
          <w:tcPr>
            <w:tcW w:w="5188" w:type="dxa"/>
            <w:gridSpan w:val="5"/>
            <w:tcBorders>
              <w:top w:val="single" w:sz="12" w:space="0" w:color="auto"/>
              <w:left w:val="nil"/>
              <w:bottom w:val="nil"/>
              <w:right w:val="single" w:sz="12" w:space="0" w:color="auto"/>
            </w:tcBorders>
            <w:shd w:val="clear" w:color="000000" w:fill="FFFFFF"/>
            <w:noWrap/>
            <w:vAlign w:val="center"/>
          </w:tcPr>
          <w:p w:rsidR="00B903E0" w:rsidRPr="00071923" w:rsidRDefault="00B903E0" w:rsidP="00887151">
            <w:pPr>
              <w:spacing w:after="0" w:line="240" w:lineRule="auto"/>
              <w:jc w:val="center"/>
              <w:rPr>
                <w:rFonts w:ascii="Arial" w:eastAsia="Times New Roman" w:hAnsi="Arial" w:cs="Arial"/>
                <w:bCs/>
                <w:sz w:val="18"/>
                <w:szCs w:val="18"/>
                <w:lang w:eastAsia="tr-TR"/>
              </w:rPr>
            </w:pPr>
            <w:r w:rsidRPr="00071923">
              <w:rPr>
                <w:rFonts w:ascii="Arial" w:eastAsia="Times New Roman" w:hAnsi="Arial" w:cs="Arial"/>
                <w:bCs/>
                <w:sz w:val="18"/>
                <w:szCs w:val="18"/>
                <w:lang w:eastAsia="tr-TR"/>
              </w:rPr>
              <w:t>(Milyar TL)</w:t>
            </w:r>
          </w:p>
        </w:tc>
      </w:tr>
      <w:tr w:rsidR="00B903E0" w:rsidRPr="00071923" w:rsidTr="00B903E0">
        <w:trPr>
          <w:trHeight w:val="300"/>
        </w:trPr>
        <w:tc>
          <w:tcPr>
            <w:tcW w:w="3959" w:type="dxa"/>
            <w:tcBorders>
              <w:top w:val="single" w:sz="4" w:space="0" w:color="auto"/>
              <w:left w:val="single" w:sz="12" w:space="0" w:color="auto"/>
              <w:bottom w:val="nil"/>
              <w:right w:val="single" w:sz="4" w:space="0" w:color="auto"/>
            </w:tcBorders>
            <w:shd w:val="clear" w:color="000000" w:fill="FFFFFF"/>
            <w:noWrap/>
            <w:vAlign w:val="center"/>
            <w:hideMark/>
          </w:tcPr>
          <w:p w:rsidR="00B903E0" w:rsidRPr="00071923" w:rsidRDefault="00B903E0" w:rsidP="00B903E0">
            <w:pPr>
              <w:spacing w:after="0" w:line="240" w:lineRule="auto"/>
              <w:rPr>
                <w:rFonts w:ascii="Arial" w:eastAsia="Times New Roman" w:hAnsi="Arial" w:cs="Arial"/>
                <w:b/>
                <w:bCs/>
                <w:color w:val="000000"/>
                <w:sz w:val="18"/>
                <w:szCs w:val="18"/>
                <w:lang w:eastAsia="tr-TR"/>
              </w:rPr>
            </w:pPr>
            <w:r w:rsidRPr="00071923">
              <w:rPr>
                <w:rFonts w:ascii="Arial" w:eastAsia="Times New Roman" w:hAnsi="Arial" w:cs="Arial"/>
                <w:b/>
                <w:bCs/>
                <w:color w:val="000000"/>
                <w:sz w:val="18"/>
                <w:szCs w:val="18"/>
                <w:lang w:eastAsia="tr-TR"/>
              </w:rPr>
              <w:t>Kamu Kesimi</w:t>
            </w:r>
          </w:p>
        </w:tc>
        <w:tc>
          <w:tcPr>
            <w:tcW w:w="962" w:type="dxa"/>
            <w:tcBorders>
              <w:top w:val="single" w:sz="4" w:space="0" w:color="auto"/>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10,8</w:t>
            </w:r>
          </w:p>
        </w:tc>
        <w:tc>
          <w:tcPr>
            <w:tcW w:w="962" w:type="dxa"/>
            <w:tcBorders>
              <w:top w:val="single" w:sz="4" w:space="0" w:color="auto"/>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14,6</w:t>
            </w:r>
          </w:p>
        </w:tc>
        <w:tc>
          <w:tcPr>
            <w:tcW w:w="1068" w:type="dxa"/>
            <w:tcBorders>
              <w:top w:val="single" w:sz="4" w:space="0" w:color="auto"/>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16,5</w:t>
            </w:r>
          </w:p>
        </w:tc>
        <w:tc>
          <w:tcPr>
            <w:tcW w:w="1134" w:type="dxa"/>
            <w:tcBorders>
              <w:top w:val="single" w:sz="4" w:space="0" w:color="auto"/>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22,1</w:t>
            </w:r>
          </w:p>
        </w:tc>
        <w:tc>
          <w:tcPr>
            <w:tcW w:w="1062" w:type="dxa"/>
            <w:tcBorders>
              <w:top w:val="single" w:sz="4" w:space="0" w:color="auto"/>
              <w:left w:val="nil"/>
              <w:bottom w:val="nil"/>
              <w:right w:val="single" w:sz="12"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27,3</w:t>
            </w:r>
          </w:p>
        </w:tc>
      </w:tr>
      <w:tr w:rsidR="00B903E0" w:rsidRPr="00071923" w:rsidTr="00B903E0">
        <w:trPr>
          <w:trHeight w:val="300"/>
        </w:trPr>
        <w:tc>
          <w:tcPr>
            <w:tcW w:w="3959"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071923">
            <w:pPr>
              <w:spacing w:after="0" w:line="240" w:lineRule="auto"/>
              <w:ind w:firstLineChars="200" w:firstLine="361"/>
              <w:rPr>
                <w:rFonts w:ascii="Arial" w:eastAsia="Times New Roman" w:hAnsi="Arial" w:cs="Arial"/>
                <w:b/>
                <w:bCs/>
                <w:color w:val="000000"/>
                <w:sz w:val="18"/>
                <w:szCs w:val="18"/>
                <w:lang w:eastAsia="tr-TR"/>
              </w:rPr>
            </w:pPr>
            <w:r w:rsidRPr="00071923">
              <w:rPr>
                <w:rFonts w:ascii="Arial" w:eastAsia="Times New Roman" w:hAnsi="Arial" w:cs="Arial"/>
                <w:b/>
                <w:bCs/>
                <w:color w:val="000000"/>
                <w:sz w:val="18"/>
                <w:szCs w:val="18"/>
                <w:lang w:eastAsia="tr-TR"/>
              </w:rPr>
              <w:t>Genel Devlet</w:t>
            </w:r>
          </w:p>
        </w:tc>
        <w:tc>
          <w:tcPr>
            <w:tcW w:w="962"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10,4</w:t>
            </w:r>
          </w:p>
        </w:tc>
        <w:tc>
          <w:tcPr>
            <w:tcW w:w="962"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11,7</w:t>
            </w:r>
          </w:p>
        </w:tc>
        <w:tc>
          <w:tcPr>
            <w:tcW w:w="1068"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15,0</w:t>
            </w:r>
          </w:p>
        </w:tc>
        <w:tc>
          <w:tcPr>
            <w:tcW w:w="1134"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21,4</w:t>
            </w:r>
          </w:p>
        </w:tc>
        <w:tc>
          <w:tcPr>
            <w:tcW w:w="1062" w:type="dxa"/>
            <w:tcBorders>
              <w:top w:val="nil"/>
              <w:left w:val="nil"/>
              <w:bottom w:val="nil"/>
              <w:right w:val="single" w:sz="12"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27,2</w:t>
            </w:r>
          </w:p>
        </w:tc>
      </w:tr>
      <w:tr w:rsidR="00B903E0" w:rsidRPr="00071923" w:rsidTr="00B903E0">
        <w:trPr>
          <w:trHeight w:val="300"/>
        </w:trPr>
        <w:tc>
          <w:tcPr>
            <w:tcW w:w="3959"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071923">
            <w:pPr>
              <w:spacing w:after="0" w:line="240" w:lineRule="auto"/>
              <w:ind w:firstLineChars="300" w:firstLine="540"/>
              <w:rPr>
                <w:rFonts w:ascii="Arial" w:eastAsia="Times New Roman" w:hAnsi="Arial" w:cs="Arial"/>
                <w:sz w:val="18"/>
                <w:szCs w:val="18"/>
                <w:lang w:eastAsia="tr-TR"/>
              </w:rPr>
            </w:pPr>
            <w:r w:rsidRPr="00071923">
              <w:rPr>
                <w:rFonts w:ascii="Arial" w:eastAsia="Times New Roman" w:hAnsi="Arial" w:cs="Arial"/>
                <w:sz w:val="18"/>
                <w:szCs w:val="18"/>
                <w:lang w:eastAsia="tr-TR"/>
              </w:rPr>
              <w:t>Merkezi Yönetim Bütçesi</w:t>
            </w:r>
          </w:p>
        </w:tc>
        <w:tc>
          <w:tcPr>
            <w:tcW w:w="962"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3,8</w:t>
            </w:r>
          </w:p>
        </w:tc>
        <w:tc>
          <w:tcPr>
            <w:tcW w:w="962"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13,3</w:t>
            </w:r>
          </w:p>
        </w:tc>
        <w:tc>
          <w:tcPr>
            <w:tcW w:w="1068"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8,7</w:t>
            </w:r>
          </w:p>
        </w:tc>
        <w:tc>
          <w:tcPr>
            <w:tcW w:w="1134"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15,2</w:t>
            </w:r>
          </w:p>
        </w:tc>
        <w:tc>
          <w:tcPr>
            <w:tcW w:w="1062" w:type="dxa"/>
            <w:tcBorders>
              <w:top w:val="nil"/>
              <w:left w:val="nil"/>
              <w:bottom w:val="nil"/>
              <w:right w:val="single" w:sz="12"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20,7</w:t>
            </w:r>
          </w:p>
        </w:tc>
      </w:tr>
      <w:tr w:rsidR="00B903E0" w:rsidRPr="00071923" w:rsidTr="00B903E0">
        <w:trPr>
          <w:trHeight w:val="300"/>
        </w:trPr>
        <w:tc>
          <w:tcPr>
            <w:tcW w:w="3959"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071923">
            <w:pPr>
              <w:spacing w:after="0" w:line="240" w:lineRule="auto"/>
              <w:ind w:firstLineChars="300" w:firstLine="540"/>
              <w:rPr>
                <w:rFonts w:ascii="Arial" w:eastAsia="Times New Roman" w:hAnsi="Arial" w:cs="Arial"/>
                <w:sz w:val="18"/>
                <w:szCs w:val="18"/>
                <w:lang w:eastAsia="tr-TR"/>
              </w:rPr>
            </w:pPr>
            <w:r w:rsidRPr="00071923">
              <w:rPr>
                <w:rFonts w:ascii="Arial" w:eastAsia="Times New Roman" w:hAnsi="Arial" w:cs="Arial"/>
                <w:sz w:val="18"/>
                <w:szCs w:val="18"/>
                <w:lang w:eastAsia="tr-TR"/>
              </w:rPr>
              <w:t>Mahalli İdareler</w:t>
            </w:r>
          </w:p>
        </w:tc>
        <w:tc>
          <w:tcPr>
            <w:tcW w:w="962"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1,0</w:t>
            </w:r>
          </w:p>
        </w:tc>
        <w:tc>
          <w:tcPr>
            <w:tcW w:w="962"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-2,9</w:t>
            </w:r>
          </w:p>
        </w:tc>
        <w:tc>
          <w:tcPr>
            <w:tcW w:w="1068"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-0,7</w:t>
            </w:r>
          </w:p>
        </w:tc>
        <w:tc>
          <w:tcPr>
            <w:tcW w:w="1134"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-1,5</w:t>
            </w:r>
          </w:p>
        </w:tc>
        <w:tc>
          <w:tcPr>
            <w:tcW w:w="1062" w:type="dxa"/>
            <w:tcBorders>
              <w:top w:val="nil"/>
              <w:left w:val="nil"/>
              <w:bottom w:val="nil"/>
              <w:right w:val="single" w:sz="12"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-2,0</w:t>
            </w:r>
          </w:p>
        </w:tc>
      </w:tr>
      <w:tr w:rsidR="00B903E0" w:rsidRPr="00071923" w:rsidTr="00B903E0">
        <w:trPr>
          <w:trHeight w:val="300"/>
        </w:trPr>
        <w:tc>
          <w:tcPr>
            <w:tcW w:w="3959"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071923">
            <w:pPr>
              <w:spacing w:after="0" w:line="240" w:lineRule="auto"/>
              <w:ind w:firstLineChars="300" w:firstLine="540"/>
              <w:rPr>
                <w:rFonts w:ascii="Arial" w:eastAsia="Times New Roman" w:hAnsi="Arial" w:cs="Arial"/>
                <w:sz w:val="18"/>
                <w:szCs w:val="18"/>
                <w:lang w:eastAsia="tr-TR"/>
              </w:rPr>
            </w:pPr>
            <w:r w:rsidRPr="00071923">
              <w:rPr>
                <w:rFonts w:ascii="Arial" w:eastAsia="Times New Roman" w:hAnsi="Arial" w:cs="Arial"/>
                <w:sz w:val="18"/>
                <w:szCs w:val="18"/>
                <w:lang w:eastAsia="tr-TR"/>
              </w:rPr>
              <w:t>Bütçe Dışı Fonlar</w:t>
            </w:r>
          </w:p>
        </w:tc>
        <w:tc>
          <w:tcPr>
            <w:tcW w:w="962"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1,6</w:t>
            </w:r>
          </w:p>
        </w:tc>
        <w:tc>
          <w:tcPr>
            <w:tcW w:w="962"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-3,8</w:t>
            </w:r>
          </w:p>
        </w:tc>
        <w:tc>
          <w:tcPr>
            <w:tcW w:w="1068"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2,1</w:t>
            </w:r>
          </w:p>
        </w:tc>
        <w:tc>
          <w:tcPr>
            <w:tcW w:w="1134"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2,4</w:t>
            </w:r>
          </w:p>
        </w:tc>
        <w:tc>
          <w:tcPr>
            <w:tcW w:w="1062" w:type="dxa"/>
            <w:tcBorders>
              <w:top w:val="nil"/>
              <w:left w:val="nil"/>
              <w:bottom w:val="nil"/>
              <w:right w:val="single" w:sz="12"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2,6</w:t>
            </w:r>
          </w:p>
        </w:tc>
      </w:tr>
      <w:tr w:rsidR="00B903E0" w:rsidRPr="00071923" w:rsidTr="00B903E0">
        <w:trPr>
          <w:trHeight w:val="300"/>
        </w:trPr>
        <w:tc>
          <w:tcPr>
            <w:tcW w:w="3959"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071923">
            <w:pPr>
              <w:spacing w:after="0" w:line="240" w:lineRule="auto"/>
              <w:ind w:firstLineChars="300" w:firstLine="540"/>
              <w:rPr>
                <w:rFonts w:ascii="Arial" w:eastAsia="Times New Roman" w:hAnsi="Arial" w:cs="Arial"/>
                <w:sz w:val="18"/>
                <w:szCs w:val="18"/>
                <w:lang w:eastAsia="tr-TR"/>
              </w:rPr>
            </w:pPr>
            <w:r w:rsidRPr="00071923">
              <w:rPr>
                <w:rFonts w:ascii="Arial" w:eastAsia="Times New Roman" w:hAnsi="Arial" w:cs="Arial"/>
                <w:sz w:val="18"/>
                <w:szCs w:val="18"/>
                <w:lang w:eastAsia="tr-TR"/>
              </w:rPr>
              <w:t>İşsizlik Sigortası Fonu</w:t>
            </w:r>
          </w:p>
        </w:tc>
        <w:tc>
          <w:tcPr>
            <w:tcW w:w="962"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3,7</w:t>
            </w:r>
          </w:p>
        </w:tc>
        <w:tc>
          <w:tcPr>
            <w:tcW w:w="962"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3,9</w:t>
            </w:r>
          </w:p>
        </w:tc>
        <w:tc>
          <w:tcPr>
            <w:tcW w:w="1068"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4,1</w:t>
            </w:r>
          </w:p>
        </w:tc>
        <w:tc>
          <w:tcPr>
            <w:tcW w:w="1134"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4,6</w:t>
            </w:r>
          </w:p>
        </w:tc>
        <w:tc>
          <w:tcPr>
            <w:tcW w:w="1062" w:type="dxa"/>
            <w:tcBorders>
              <w:top w:val="nil"/>
              <w:left w:val="nil"/>
              <w:bottom w:val="nil"/>
              <w:right w:val="single" w:sz="12"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4,8</w:t>
            </w:r>
          </w:p>
        </w:tc>
      </w:tr>
      <w:tr w:rsidR="00B903E0" w:rsidRPr="00071923" w:rsidTr="00B903E0">
        <w:trPr>
          <w:trHeight w:val="300"/>
        </w:trPr>
        <w:tc>
          <w:tcPr>
            <w:tcW w:w="3959"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071923">
            <w:pPr>
              <w:spacing w:after="0" w:line="240" w:lineRule="auto"/>
              <w:ind w:firstLineChars="300" w:firstLine="540"/>
              <w:rPr>
                <w:rFonts w:ascii="Arial" w:eastAsia="Times New Roman" w:hAnsi="Arial" w:cs="Arial"/>
                <w:sz w:val="18"/>
                <w:szCs w:val="18"/>
                <w:lang w:eastAsia="tr-TR"/>
              </w:rPr>
            </w:pPr>
            <w:r w:rsidRPr="00071923">
              <w:rPr>
                <w:rFonts w:ascii="Arial" w:eastAsia="Times New Roman" w:hAnsi="Arial" w:cs="Arial"/>
                <w:sz w:val="18"/>
                <w:szCs w:val="18"/>
                <w:lang w:eastAsia="tr-TR"/>
              </w:rPr>
              <w:t>Sosyal Güvenlik Kuruluşları</w:t>
            </w:r>
          </w:p>
        </w:tc>
        <w:tc>
          <w:tcPr>
            <w:tcW w:w="962"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-0,1</w:t>
            </w:r>
          </w:p>
        </w:tc>
        <w:tc>
          <w:tcPr>
            <w:tcW w:w="962"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-6,0</w:t>
            </w:r>
          </w:p>
        </w:tc>
        <w:tc>
          <w:tcPr>
            <w:tcW w:w="1068"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-6,7</w:t>
            </w:r>
          </w:p>
        </w:tc>
        <w:tc>
          <w:tcPr>
            <w:tcW w:w="1134"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-10,1</w:t>
            </w:r>
          </w:p>
        </w:tc>
        <w:tc>
          <w:tcPr>
            <w:tcW w:w="1062" w:type="dxa"/>
            <w:tcBorders>
              <w:top w:val="nil"/>
              <w:left w:val="nil"/>
              <w:bottom w:val="nil"/>
              <w:right w:val="single" w:sz="12"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-13,6</w:t>
            </w:r>
          </w:p>
        </w:tc>
      </w:tr>
      <w:tr w:rsidR="00B903E0" w:rsidRPr="00071923" w:rsidTr="00B903E0">
        <w:trPr>
          <w:trHeight w:val="300"/>
        </w:trPr>
        <w:tc>
          <w:tcPr>
            <w:tcW w:w="3959"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071923">
            <w:pPr>
              <w:spacing w:after="0" w:line="240" w:lineRule="auto"/>
              <w:ind w:firstLineChars="300" w:firstLine="540"/>
              <w:rPr>
                <w:rFonts w:ascii="Arial" w:eastAsia="Times New Roman" w:hAnsi="Arial" w:cs="Arial"/>
                <w:sz w:val="18"/>
                <w:szCs w:val="18"/>
                <w:lang w:eastAsia="tr-TR"/>
              </w:rPr>
            </w:pPr>
            <w:r w:rsidRPr="00071923">
              <w:rPr>
                <w:rFonts w:ascii="Arial" w:eastAsia="Times New Roman" w:hAnsi="Arial" w:cs="Arial"/>
                <w:sz w:val="18"/>
                <w:szCs w:val="18"/>
                <w:lang w:eastAsia="tr-TR"/>
              </w:rPr>
              <w:t>Genel Sağlık Sigortası</w:t>
            </w:r>
          </w:p>
        </w:tc>
        <w:tc>
          <w:tcPr>
            <w:tcW w:w="962"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0,0</w:t>
            </w:r>
          </w:p>
        </w:tc>
        <w:tc>
          <w:tcPr>
            <w:tcW w:w="962"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6,0</w:t>
            </w:r>
          </w:p>
        </w:tc>
        <w:tc>
          <w:tcPr>
            <w:tcW w:w="1068"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6,7</w:t>
            </w:r>
          </w:p>
        </w:tc>
        <w:tc>
          <w:tcPr>
            <w:tcW w:w="1134"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10,1</w:t>
            </w:r>
          </w:p>
        </w:tc>
        <w:tc>
          <w:tcPr>
            <w:tcW w:w="1062" w:type="dxa"/>
            <w:tcBorders>
              <w:top w:val="nil"/>
              <w:left w:val="nil"/>
              <w:bottom w:val="nil"/>
              <w:right w:val="single" w:sz="12"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13,6</w:t>
            </w:r>
          </w:p>
        </w:tc>
      </w:tr>
      <w:tr w:rsidR="00B903E0" w:rsidRPr="00071923" w:rsidTr="00B903E0">
        <w:trPr>
          <w:trHeight w:val="300"/>
        </w:trPr>
        <w:tc>
          <w:tcPr>
            <w:tcW w:w="3959"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071923">
            <w:pPr>
              <w:spacing w:after="0" w:line="240" w:lineRule="auto"/>
              <w:ind w:firstLineChars="300" w:firstLine="540"/>
              <w:rPr>
                <w:rFonts w:ascii="Arial" w:eastAsia="Times New Roman" w:hAnsi="Arial" w:cs="Arial"/>
                <w:sz w:val="18"/>
                <w:szCs w:val="18"/>
                <w:lang w:eastAsia="tr-TR"/>
              </w:rPr>
            </w:pPr>
            <w:r w:rsidRPr="00071923">
              <w:rPr>
                <w:rFonts w:ascii="Arial" w:eastAsia="Times New Roman" w:hAnsi="Arial" w:cs="Arial"/>
                <w:sz w:val="18"/>
                <w:szCs w:val="18"/>
                <w:lang w:eastAsia="tr-TR"/>
              </w:rPr>
              <w:t>Döner Sermayeli Kuruluşlar</w:t>
            </w:r>
          </w:p>
        </w:tc>
        <w:tc>
          <w:tcPr>
            <w:tcW w:w="962"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0,3</w:t>
            </w:r>
          </w:p>
        </w:tc>
        <w:tc>
          <w:tcPr>
            <w:tcW w:w="962"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1,2</w:t>
            </w:r>
          </w:p>
        </w:tc>
        <w:tc>
          <w:tcPr>
            <w:tcW w:w="1068"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0,6</w:t>
            </w:r>
          </w:p>
        </w:tc>
        <w:tc>
          <w:tcPr>
            <w:tcW w:w="1134"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0,8</w:t>
            </w:r>
          </w:p>
        </w:tc>
        <w:tc>
          <w:tcPr>
            <w:tcW w:w="1062" w:type="dxa"/>
            <w:tcBorders>
              <w:top w:val="nil"/>
              <w:left w:val="nil"/>
              <w:bottom w:val="nil"/>
              <w:right w:val="single" w:sz="12"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1,0</w:t>
            </w:r>
          </w:p>
        </w:tc>
      </w:tr>
      <w:tr w:rsidR="00B903E0" w:rsidRPr="00071923" w:rsidTr="00B903E0">
        <w:trPr>
          <w:trHeight w:val="300"/>
        </w:trPr>
        <w:tc>
          <w:tcPr>
            <w:tcW w:w="3959" w:type="dxa"/>
            <w:tcBorders>
              <w:top w:val="nil"/>
              <w:left w:val="single" w:sz="12" w:space="0" w:color="auto"/>
              <w:bottom w:val="single" w:sz="12" w:space="0" w:color="auto"/>
              <w:right w:val="single" w:sz="4" w:space="0" w:color="auto"/>
            </w:tcBorders>
            <w:shd w:val="clear" w:color="000000" w:fill="FFFFFF"/>
            <w:noWrap/>
            <w:vAlign w:val="center"/>
            <w:hideMark/>
          </w:tcPr>
          <w:p w:rsidR="00B903E0" w:rsidRPr="00071923" w:rsidRDefault="00B903E0" w:rsidP="00071923">
            <w:pPr>
              <w:spacing w:after="0" w:line="240" w:lineRule="auto"/>
              <w:ind w:firstLineChars="200" w:firstLine="361"/>
              <w:rPr>
                <w:rFonts w:ascii="Arial" w:eastAsia="Times New Roman" w:hAnsi="Arial" w:cs="Arial"/>
                <w:b/>
                <w:bCs/>
                <w:color w:val="000000"/>
                <w:sz w:val="18"/>
                <w:szCs w:val="18"/>
                <w:lang w:eastAsia="tr-TR"/>
              </w:rPr>
            </w:pPr>
            <w:r w:rsidRPr="00071923">
              <w:rPr>
                <w:rFonts w:ascii="Arial" w:eastAsia="Times New Roman" w:hAnsi="Arial" w:cs="Arial"/>
                <w:b/>
                <w:bCs/>
                <w:color w:val="000000"/>
                <w:sz w:val="18"/>
                <w:szCs w:val="18"/>
                <w:lang w:eastAsia="tr-TR"/>
              </w:rPr>
              <w:t>KİT'ler</w:t>
            </w:r>
          </w:p>
        </w:tc>
        <w:tc>
          <w:tcPr>
            <w:tcW w:w="962" w:type="dxa"/>
            <w:tcBorders>
              <w:top w:val="nil"/>
              <w:left w:val="nil"/>
              <w:bottom w:val="single" w:sz="12" w:space="0" w:color="auto"/>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0,4</w:t>
            </w:r>
          </w:p>
        </w:tc>
        <w:tc>
          <w:tcPr>
            <w:tcW w:w="962" w:type="dxa"/>
            <w:tcBorders>
              <w:top w:val="nil"/>
              <w:left w:val="nil"/>
              <w:bottom w:val="single" w:sz="12" w:space="0" w:color="auto"/>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2,9</w:t>
            </w:r>
          </w:p>
        </w:tc>
        <w:tc>
          <w:tcPr>
            <w:tcW w:w="1068" w:type="dxa"/>
            <w:tcBorders>
              <w:top w:val="nil"/>
              <w:left w:val="nil"/>
              <w:bottom w:val="single" w:sz="12" w:space="0" w:color="auto"/>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1,5</w:t>
            </w:r>
          </w:p>
        </w:tc>
        <w:tc>
          <w:tcPr>
            <w:tcW w:w="1134" w:type="dxa"/>
            <w:tcBorders>
              <w:top w:val="nil"/>
              <w:left w:val="nil"/>
              <w:bottom w:val="single" w:sz="12" w:space="0" w:color="auto"/>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0,8</w:t>
            </w:r>
          </w:p>
        </w:tc>
        <w:tc>
          <w:tcPr>
            <w:tcW w:w="1062" w:type="dxa"/>
            <w:tcBorders>
              <w:top w:val="nil"/>
              <w:left w:val="nil"/>
              <w:bottom w:val="single" w:sz="12" w:space="0" w:color="auto"/>
              <w:right w:val="single" w:sz="12"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0,2</w:t>
            </w:r>
          </w:p>
        </w:tc>
      </w:tr>
      <w:tr w:rsidR="00B903E0" w:rsidRPr="00071923" w:rsidTr="00887151">
        <w:trPr>
          <w:trHeight w:val="300"/>
        </w:trPr>
        <w:tc>
          <w:tcPr>
            <w:tcW w:w="3959" w:type="dxa"/>
            <w:tcBorders>
              <w:top w:val="single" w:sz="12" w:space="0" w:color="auto"/>
              <w:left w:val="single" w:sz="12" w:space="0" w:color="auto"/>
              <w:bottom w:val="single" w:sz="4" w:space="0" w:color="auto"/>
              <w:right w:val="single" w:sz="4" w:space="0" w:color="auto"/>
            </w:tcBorders>
            <w:shd w:val="clear" w:color="000000" w:fill="FFFFFF"/>
            <w:noWrap/>
            <w:vAlign w:val="bottom"/>
            <w:hideMark/>
          </w:tcPr>
          <w:p w:rsidR="00B903E0" w:rsidRPr="00071923" w:rsidRDefault="00B903E0" w:rsidP="00887151">
            <w:pPr>
              <w:spacing w:after="0" w:line="240" w:lineRule="auto"/>
              <w:rPr>
                <w:rFonts w:ascii="Arial" w:eastAsia="Times New Roman" w:hAnsi="Arial" w:cs="Arial"/>
                <w:sz w:val="18"/>
                <w:szCs w:val="18"/>
                <w:lang w:eastAsia="tr-TR"/>
              </w:rPr>
            </w:pPr>
            <w:r w:rsidRPr="00071923">
              <w:rPr>
                <w:rFonts w:ascii="Arial" w:eastAsia="Times New Roman" w:hAnsi="Arial" w:cs="Arial"/>
                <w:sz w:val="18"/>
                <w:szCs w:val="18"/>
                <w:lang w:eastAsia="tr-TR"/>
              </w:rPr>
              <w:t> </w:t>
            </w:r>
          </w:p>
        </w:tc>
        <w:tc>
          <w:tcPr>
            <w:tcW w:w="5188" w:type="dxa"/>
            <w:gridSpan w:val="5"/>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B903E0" w:rsidRPr="00071923" w:rsidRDefault="00B903E0" w:rsidP="00887151">
            <w:pPr>
              <w:spacing w:after="0" w:line="240" w:lineRule="auto"/>
              <w:jc w:val="center"/>
              <w:rPr>
                <w:rFonts w:ascii="Arial" w:eastAsia="Times New Roman" w:hAnsi="Arial" w:cs="Arial"/>
                <w:sz w:val="18"/>
                <w:szCs w:val="18"/>
                <w:lang w:eastAsia="tr-TR"/>
              </w:rPr>
            </w:pPr>
            <w:r w:rsidRPr="00071923">
              <w:rPr>
                <w:rFonts w:ascii="Arial" w:hAnsi="Arial" w:cs="Arial"/>
                <w:sz w:val="18"/>
                <w:szCs w:val="18"/>
              </w:rPr>
              <w:t>(</w:t>
            </w:r>
            <w:proofErr w:type="spellStart"/>
            <w:r w:rsidRPr="00071923">
              <w:rPr>
                <w:rFonts w:ascii="Arial" w:hAnsi="Arial" w:cs="Arial"/>
                <w:sz w:val="18"/>
                <w:szCs w:val="18"/>
              </w:rPr>
              <w:t>GSYH’ya</w:t>
            </w:r>
            <w:proofErr w:type="spellEnd"/>
            <w:r w:rsidRPr="00071923">
              <w:rPr>
                <w:rFonts w:ascii="Arial" w:hAnsi="Arial" w:cs="Arial"/>
                <w:sz w:val="18"/>
                <w:szCs w:val="18"/>
              </w:rPr>
              <w:t xml:space="preserve"> Oran, Yüzde)</w:t>
            </w:r>
          </w:p>
        </w:tc>
      </w:tr>
      <w:tr w:rsidR="00B903E0" w:rsidRPr="00071923" w:rsidTr="00B903E0">
        <w:trPr>
          <w:trHeight w:val="300"/>
        </w:trPr>
        <w:tc>
          <w:tcPr>
            <w:tcW w:w="3959"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B903E0">
            <w:pPr>
              <w:spacing w:after="0" w:line="240" w:lineRule="auto"/>
              <w:rPr>
                <w:rFonts w:ascii="Arial" w:eastAsia="Times New Roman" w:hAnsi="Arial" w:cs="Arial"/>
                <w:b/>
                <w:bCs/>
                <w:color w:val="000000"/>
                <w:sz w:val="18"/>
                <w:szCs w:val="18"/>
                <w:lang w:eastAsia="tr-TR"/>
              </w:rPr>
            </w:pPr>
            <w:r w:rsidRPr="00071923">
              <w:rPr>
                <w:rFonts w:ascii="Arial" w:eastAsia="Times New Roman" w:hAnsi="Arial" w:cs="Arial"/>
                <w:b/>
                <w:bCs/>
                <w:color w:val="000000"/>
                <w:sz w:val="18"/>
                <w:szCs w:val="18"/>
                <w:lang w:eastAsia="tr-TR"/>
              </w:rPr>
              <w:t>Kamu Kesimi</w:t>
            </w:r>
          </w:p>
        </w:tc>
        <w:tc>
          <w:tcPr>
            <w:tcW w:w="962"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0,8</w:t>
            </w:r>
          </w:p>
        </w:tc>
        <w:tc>
          <w:tcPr>
            <w:tcW w:w="962"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0,9</w:t>
            </w:r>
          </w:p>
        </w:tc>
        <w:tc>
          <w:tcPr>
            <w:tcW w:w="1068"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1,0</w:t>
            </w:r>
          </w:p>
        </w:tc>
        <w:tc>
          <w:tcPr>
            <w:tcW w:w="1134"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1,2</w:t>
            </w:r>
          </w:p>
        </w:tc>
        <w:tc>
          <w:tcPr>
            <w:tcW w:w="1062" w:type="dxa"/>
            <w:tcBorders>
              <w:top w:val="nil"/>
              <w:left w:val="nil"/>
              <w:bottom w:val="nil"/>
              <w:right w:val="single" w:sz="12"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1,3</w:t>
            </w:r>
          </w:p>
        </w:tc>
      </w:tr>
      <w:tr w:rsidR="00B903E0" w:rsidRPr="00071923" w:rsidTr="00B903E0">
        <w:trPr>
          <w:trHeight w:val="300"/>
        </w:trPr>
        <w:tc>
          <w:tcPr>
            <w:tcW w:w="3959"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071923">
            <w:pPr>
              <w:spacing w:after="0" w:line="240" w:lineRule="auto"/>
              <w:ind w:firstLineChars="200" w:firstLine="361"/>
              <w:rPr>
                <w:rFonts w:ascii="Arial" w:eastAsia="Times New Roman" w:hAnsi="Arial" w:cs="Arial"/>
                <w:b/>
                <w:bCs/>
                <w:color w:val="000000"/>
                <w:sz w:val="18"/>
                <w:szCs w:val="18"/>
                <w:lang w:eastAsia="tr-TR"/>
              </w:rPr>
            </w:pPr>
            <w:r w:rsidRPr="00071923">
              <w:rPr>
                <w:rFonts w:ascii="Arial" w:eastAsia="Times New Roman" w:hAnsi="Arial" w:cs="Arial"/>
                <w:b/>
                <w:bCs/>
                <w:color w:val="000000"/>
                <w:sz w:val="18"/>
                <w:szCs w:val="18"/>
                <w:lang w:eastAsia="tr-TR"/>
              </w:rPr>
              <w:t>Genel Devlet</w:t>
            </w:r>
          </w:p>
        </w:tc>
        <w:tc>
          <w:tcPr>
            <w:tcW w:w="962"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0,7</w:t>
            </w:r>
          </w:p>
        </w:tc>
        <w:tc>
          <w:tcPr>
            <w:tcW w:w="962"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0,8</w:t>
            </w:r>
          </w:p>
        </w:tc>
        <w:tc>
          <w:tcPr>
            <w:tcW w:w="1068"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0,9</w:t>
            </w:r>
          </w:p>
        </w:tc>
        <w:tc>
          <w:tcPr>
            <w:tcW w:w="1134"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1,1</w:t>
            </w:r>
          </w:p>
        </w:tc>
        <w:tc>
          <w:tcPr>
            <w:tcW w:w="1062" w:type="dxa"/>
            <w:tcBorders>
              <w:top w:val="nil"/>
              <w:left w:val="nil"/>
              <w:bottom w:val="nil"/>
              <w:right w:val="single" w:sz="12"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1,3</w:t>
            </w:r>
          </w:p>
        </w:tc>
      </w:tr>
      <w:tr w:rsidR="00B903E0" w:rsidRPr="00071923" w:rsidTr="00B903E0">
        <w:trPr>
          <w:trHeight w:val="300"/>
        </w:trPr>
        <w:tc>
          <w:tcPr>
            <w:tcW w:w="3959"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071923">
            <w:pPr>
              <w:spacing w:after="0" w:line="240" w:lineRule="auto"/>
              <w:ind w:firstLineChars="300" w:firstLine="540"/>
              <w:rPr>
                <w:rFonts w:ascii="Arial" w:eastAsia="Times New Roman" w:hAnsi="Arial" w:cs="Arial"/>
                <w:sz w:val="18"/>
                <w:szCs w:val="18"/>
                <w:lang w:eastAsia="tr-TR"/>
              </w:rPr>
            </w:pPr>
            <w:r w:rsidRPr="00071923">
              <w:rPr>
                <w:rFonts w:ascii="Arial" w:eastAsia="Times New Roman" w:hAnsi="Arial" w:cs="Arial"/>
                <w:sz w:val="18"/>
                <w:szCs w:val="18"/>
                <w:lang w:eastAsia="tr-TR"/>
              </w:rPr>
              <w:t>Merkezi Yönetim Bütçesi</w:t>
            </w:r>
          </w:p>
        </w:tc>
        <w:tc>
          <w:tcPr>
            <w:tcW w:w="962"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Cs/>
                <w:sz w:val="18"/>
                <w:szCs w:val="18"/>
                <w:lang w:eastAsia="tr-TR"/>
              </w:rPr>
            </w:pPr>
            <w:r w:rsidRPr="00071923">
              <w:rPr>
                <w:rFonts w:ascii="Arial" w:eastAsia="Times New Roman" w:hAnsi="Arial" w:cs="Arial"/>
                <w:bCs/>
                <w:sz w:val="18"/>
                <w:szCs w:val="18"/>
                <w:lang w:eastAsia="tr-TR"/>
              </w:rPr>
              <w:t>0,3</w:t>
            </w:r>
          </w:p>
        </w:tc>
        <w:tc>
          <w:tcPr>
            <w:tcW w:w="962"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Cs/>
                <w:sz w:val="18"/>
                <w:szCs w:val="18"/>
                <w:lang w:eastAsia="tr-TR"/>
              </w:rPr>
            </w:pPr>
            <w:r w:rsidRPr="00071923">
              <w:rPr>
                <w:rFonts w:ascii="Arial" w:eastAsia="Times New Roman" w:hAnsi="Arial" w:cs="Arial"/>
                <w:bCs/>
                <w:sz w:val="18"/>
                <w:szCs w:val="18"/>
                <w:lang w:eastAsia="tr-TR"/>
              </w:rPr>
              <w:t>0,9</w:t>
            </w:r>
          </w:p>
        </w:tc>
        <w:tc>
          <w:tcPr>
            <w:tcW w:w="1068"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Cs/>
                <w:sz w:val="18"/>
                <w:szCs w:val="18"/>
                <w:lang w:eastAsia="tr-TR"/>
              </w:rPr>
            </w:pPr>
            <w:r w:rsidRPr="00071923">
              <w:rPr>
                <w:rFonts w:ascii="Arial" w:eastAsia="Times New Roman" w:hAnsi="Arial" w:cs="Arial"/>
                <w:bCs/>
                <w:sz w:val="18"/>
                <w:szCs w:val="18"/>
                <w:lang w:eastAsia="tr-TR"/>
              </w:rPr>
              <w:t>0,5</w:t>
            </w:r>
          </w:p>
        </w:tc>
        <w:tc>
          <w:tcPr>
            <w:tcW w:w="1134"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Cs/>
                <w:sz w:val="18"/>
                <w:szCs w:val="18"/>
                <w:lang w:eastAsia="tr-TR"/>
              </w:rPr>
            </w:pPr>
            <w:r w:rsidRPr="00071923">
              <w:rPr>
                <w:rFonts w:ascii="Arial" w:eastAsia="Times New Roman" w:hAnsi="Arial" w:cs="Arial"/>
                <w:bCs/>
                <w:sz w:val="18"/>
                <w:szCs w:val="18"/>
                <w:lang w:eastAsia="tr-TR"/>
              </w:rPr>
              <w:t>0,8</w:t>
            </w:r>
          </w:p>
        </w:tc>
        <w:tc>
          <w:tcPr>
            <w:tcW w:w="1062" w:type="dxa"/>
            <w:tcBorders>
              <w:top w:val="nil"/>
              <w:left w:val="nil"/>
              <w:bottom w:val="nil"/>
              <w:right w:val="single" w:sz="12"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Cs/>
                <w:sz w:val="18"/>
                <w:szCs w:val="18"/>
                <w:lang w:eastAsia="tr-TR"/>
              </w:rPr>
            </w:pPr>
            <w:r w:rsidRPr="00071923">
              <w:rPr>
                <w:rFonts w:ascii="Arial" w:eastAsia="Times New Roman" w:hAnsi="Arial" w:cs="Arial"/>
                <w:bCs/>
                <w:sz w:val="18"/>
                <w:szCs w:val="18"/>
                <w:lang w:eastAsia="tr-TR"/>
              </w:rPr>
              <w:t>1,0</w:t>
            </w:r>
          </w:p>
        </w:tc>
      </w:tr>
      <w:tr w:rsidR="00B903E0" w:rsidRPr="00071923" w:rsidTr="00B903E0">
        <w:trPr>
          <w:trHeight w:val="300"/>
        </w:trPr>
        <w:tc>
          <w:tcPr>
            <w:tcW w:w="3959"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071923">
            <w:pPr>
              <w:spacing w:after="0" w:line="240" w:lineRule="auto"/>
              <w:ind w:firstLineChars="300" w:firstLine="540"/>
              <w:rPr>
                <w:rFonts w:ascii="Arial" w:eastAsia="Times New Roman" w:hAnsi="Arial" w:cs="Arial"/>
                <w:sz w:val="18"/>
                <w:szCs w:val="18"/>
                <w:lang w:eastAsia="tr-TR"/>
              </w:rPr>
            </w:pPr>
            <w:r w:rsidRPr="00071923">
              <w:rPr>
                <w:rFonts w:ascii="Arial" w:eastAsia="Times New Roman" w:hAnsi="Arial" w:cs="Arial"/>
                <w:sz w:val="18"/>
                <w:szCs w:val="18"/>
                <w:lang w:eastAsia="tr-TR"/>
              </w:rPr>
              <w:t>Mahalli İdareler</w:t>
            </w:r>
          </w:p>
        </w:tc>
        <w:tc>
          <w:tcPr>
            <w:tcW w:w="962"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Cs/>
                <w:sz w:val="18"/>
                <w:szCs w:val="18"/>
                <w:lang w:eastAsia="tr-TR"/>
              </w:rPr>
            </w:pPr>
            <w:r w:rsidRPr="00071923">
              <w:rPr>
                <w:rFonts w:ascii="Arial" w:eastAsia="Times New Roman" w:hAnsi="Arial" w:cs="Arial"/>
                <w:bCs/>
                <w:sz w:val="18"/>
                <w:szCs w:val="18"/>
                <w:lang w:eastAsia="tr-TR"/>
              </w:rPr>
              <w:t>0,1</w:t>
            </w:r>
          </w:p>
        </w:tc>
        <w:tc>
          <w:tcPr>
            <w:tcW w:w="962"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Cs/>
                <w:sz w:val="18"/>
                <w:szCs w:val="18"/>
                <w:lang w:eastAsia="tr-TR"/>
              </w:rPr>
            </w:pPr>
            <w:r w:rsidRPr="00071923">
              <w:rPr>
                <w:rFonts w:ascii="Arial" w:eastAsia="Times New Roman" w:hAnsi="Arial" w:cs="Arial"/>
                <w:bCs/>
                <w:sz w:val="18"/>
                <w:szCs w:val="18"/>
                <w:lang w:eastAsia="tr-TR"/>
              </w:rPr>
              <w:t>-0,2</w:t>
            </w:r>
          </w:p>
        </w:tc>
        <w:tc>
          <w:tcPr>
            <w:tcW w:w="1068"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Cs/>
                <w:sz w:val="18"/>
                <w:szCs w:val="18"/>
                <w:lang w:eastAsia="tr-TR"/>
              </w:rPr>
            </w:pPr>
            <w:r w:rsidRPr="00071923">
              <w:rPr>
                <w:rFonts w:ascii="Arial" w:eastAsia="Times New Roman" w:hAnsi="Arial" w:cs="Arial"/>
                <w:bCs/>
                <w:sz w:val="18"/>
                <w:szCs w:val="18"/>
                <w:lang w:eastAsia="tr-TR"/>
              </w:rPr>
              <w:t>0,0</w:t>
            </w:r>
          </w:p>
        </w:tc>
        <w:tc>
          <w:tcPr>
            <w:tcW w:w="1134"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Cs/>
                <w:sz w:val="18"/>
                <w:szCs w:val="18"/>
                <w:lang w:eastAsia="tr-TR"/>
              </w:rPr>
            </w:pPr>
            <w:r w:rsidRPr="00071923">
              <w:rPr>
                <w:rFonts w:ascii="Arial" w:eastAsia="Times New Roman" w:hAnsi="Arial" w:cs="Arial"/>
                <w:bCs/>
                <w:sz w:val="18"/>
                <w:szCs w:val="18"/>
                <w:lang w:eastAsia="tr-TR"/>
              </w:rPr>
              <w:t>-0,1</w:t>
            </w:r>
          </w:p>
        </w:tc>
        <w:tc>
          <w:tcPr>
            <w:tcW w:w="1062" w:type="dxa"/>
            <w:tcBorders>
              <w:top w:val="nil"/>
              <w:left w:val="nil"/>
              <w:bottom w:val="nil"/>
              <w:right w:val="single" w:sz="12"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Cs/>
                <w:sz w:val="18"/>
                <w:szCs w:val="18"/>
                <w:lang w:eastAsia="tr-TR"/>
              </w:rPr>
            </w:pPr>
            <w:r w:rsidRPr="00071923">
              <w:rPr>
                <w:rFonts w:ascii="Arial" w:eastAsia="Times New Roman" w:hAnsi="Arial" w:cs="Arial"/>
                <w:bCs/>
                <w:sz w:val="18"/>
                <w:szCs w:val="18"/>
                <w:lang w:eastAsia="tr-TR"/>
              </w:rPr>
              <w:t>-0,1</w:t>
            </w:r>
          </w:p>
        </w:tc>
      </w:tr>
      <w:tr w:rsidR="00B903E0" w:rsidRPr="00071923" w:rsidTr="00B903E0">
        <w:trPr>
          <w:trHeight w:val="300"/>
        </w:trPr>
        <w:tc>
          <w:tcPr>
            <w:tcW w:w="3959"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071923">
            <w:pPr>
              <w:spacing w:after="0" w:line="240" w:lineRule="auto"/>
              <w:ind w:firstLineChars="300" w:firstLine="540"/>
              <w:rPr>
                <w:rFonts w:ascii="Arial" w:eastAsia="Times New Roman" w:hAnsi="Arial" w:cs="Arial"/>
                <w:sz w:val="18"/>
                <w:szCs w:val="18"/>
                <w:lang w:eastAsia="tr-TR"/>
              </w:rPr>
            </w:pPr>
            <w:r w:rsidRPr="00071923">
              <w:rPr>
                <w:rFonts w:ascii="Arial" w:eastAsia="Times New Roman" w:hAnsi="Arial" w:cs="Arial"/>
                <w:sz w:val="18"/>
                <w:szCs w:val="18"/>
                <w:lang w:eastAsia="tr-TR"/>
              </w:rPr>
              <w:t>Bütçe Dışı Fonlar</w:t>
            </w:r>
          </w:p>
        </w:tc>
        <w:tc>
          <w:tcPr>
            <w:tcW w:w="962"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Cs/>
                <w:sz w:val="18"/>
                <w:szCs w:val="18"/>
                <w:lang w:eastAsia="tr-TR"/>
              </w:rPr>
            </w:pPr>
            <w:r w:rsidRPr="00071923">
              <w:rPr>
                <w:rFonts w:ascii="Arial" w:eastAsia="Times New Roman" w:hAnsi="Arial" w:cs="Arial"/>
                <w:bCs/>
                <w:sz w:val="18"/>
                <w:szCs w:val="18"/>
                <w:lang w:eastAsia="tr-TR"/>
              </w:rPr>
              <w:t>0,1</w:t>
            </w:r>
          </w:p>
        </w:tc>
        <w:tc>
          <w:tcPr>
            <w:tcW w:w="962"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Cs/>
                <w:sz w:val="18"/>
                <w:szCs w:val="18"/>
                <w:lang w:eastAsia="tr-TR"/>
              </w:rPr>
            </w:pPr>
            <w:r w:rsidRPr="00071923">
              <w:rPr>
                <w:rFonts w:ascii="Arial" w:eastAsia="Times New Roman" w:hAnsi="Arial" w:cs="Arial"/>
                <w:bCs/>
                <w:sz w:val="18"/>
                <w:szCs w:val="18"/>
                <w:lang w:eastAsia="tr-TR"/>
              </w:rPr>
              <w:t>-0,2</w:t>
            </w:r>
          </w:p>
        </w:tc>
        <w:tc>
          <w:tcPr>
            <w:tcW w:w="1068"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Cs/>
                <w:sz w:val="18"/>
                <w:szCs w:val="18"/>
                <w:lang w:eastAsia="tr-TR"/>
              </w:rPr>
            </w:pPr>
            <w:r w:rsidRPr="00071923">
              <w:rPr>
                <w:rFonts w:ascii="Arial" w:eastAsia="Times New Roman" w:hAnsi="Arial" w:cs="Arial"/>
                <w:bCs/>
                <w:sz w:val="18"/>
                <w:szCs w:val="18"/>
                <w:lang w:eastAsia="tr-TR"/>
              </w:rPr>
              <w:t>0,1</w:t>
            </w:r>
          </w:p>
        </w:tc>
        <w:tc>
          <w:tcPr>
            <w:tcW w:w="1134"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Cs/>
                <w:sz w:val="18"/>
                <w:szCs w:val="18"/>
                <w:lang w:eastAsia="tr-TR"/>
              </w:rPr>
            </w:pPr>
            <w:r w:rsidRPr="00071923">
              <w:rPr>
                <w:rFonts w:ascii="Arial" w:eastAsia="Times New Roman" w:hAnsi="Arial" w:cs="Arial"/>
                <w:bCs/>
                <w:sz w:val="18"/>
                <w:szCs w:val="18"/>
                <w:lang w:eastAsia="tr-TR"/>
              </w:rPr>
              <w:t>0,1</w:t>
            </w:r>
          </w:p>
        </w:tc>
        <w:tc>
          <w:tcPr>
            <w:tcW w:w="1062" w:type="dxa"/>
            <w:tcBorders>
              <w:top w:val="nil"/>
              <w:left w:val="nil"/>
              <w:bottom w:val="nil"/>
              <w:right w:val="single" w:sz="12"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Cs/>
                <w:sz w:val="18"/>
                <w:szCs w:val="18"/>
                <w:lang w:eastAsia="tr-TR"/>
              </w:rPr>
            </w:pPr>
            <w:r w:rsidRPr="00071923">
              <w:rPr>
                <w:rFonts w:ascii="Arial" w:eastAsia="Times New Roman" w:hAnsi="Arial" w:cs="Arial"/>
                <w:bCs/>
                <w:sz w:val="18"/>
                <w:szCs w:val="18"/>
                <w:lang w:eastAsia="tr-TR"/>
              </w:rPr>
              <w:t>0,1</w:t>
            </w:r>
          </w:p>
        </w:tc>
      </w:tr>
      <w:tr w:rsidR="00B903E0" w:rsidRPr="00071923" w:rsidTr="00B903E0">
        <w:trPr>
          <w:trHeight w:val="300"/>
        </w:trPr>
        <w:tc>
          <w:tcPr>
            <w:tcW w:w="3959"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071923">
            <w:pPr>
              <w:spacing w:after="0" w:line="240" w:lineRule="auto"/>
              <w:ind w:firstLineChars="300" w:firstLine="540"/>
              <w:rPr>
                <w:rFonts w:ascii="Arial" w:eastAsia="Times New Roman" w:hAnsi="Arial" w:cs="Arial"/>
                <w:sz w:val="18"/>
                <w:szCs w:val="18"/>
                <w:lang w:eastAsia="tr-TR"/>
              </w:rPr>
            </w:pPr>
            <w:r w:rsidRPr="00071923">
              <w:rPr>
                <w:rFonts w:ascii="Arial" w:eastAsia="Times New Roman" w:hAnsi="Arial" w:cs="Arial"/>
                <w:sz w:val="18"/>
                <w:szCs w:val="18"/>
                <w:lang w:eastAsia="tr-TR"/>
              </w:rPr>
              <w:t>İşsizlik Sigortası Fonu</w:t>
            </w:r>
          </w:p>
        </w:tc>
        <w:tc>
          <w:tcPr>
            <w:tcW w:w="962"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Cs/>
                <w:sz w:val="18"/>
                <w:szCs w:val="18"/>
                <w:lang w:eastAsia="tr-TR"/>
              </w:rPr>
            </w:pPr>
            <w:r w:rsidRPr="00071923">
              <w:rPr>
                <w:rFonts w:ascii="Arial" w:eastAsia="Times New Roman" w:hAnsi="Arial" w:cs="Arial"/>
                <w:bCs/>
                <w:sz w:val="18"/>
                <w:szCs w:val="18"/>
                <w:lang w:eastAsia="tr-TR"/>
              </w:rPr>
              <w:t>0,3</w:t>
            </w:r>
          </w:p>
        </w:tc>
        <w:tc>
          <w:tcPr>
            <w:tcW w:w="962"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Cs/>
                <w:sz w:val="18"/>
                <w:szCs w:val="18"/>
                <w:lang w:eastAsia="tr-TR"/>
              </w:rPr>
            </w:pPr>
            <w:r w:rsidRPr="00071923">
              <w:rPr>
                <w:rFonts w:ascii="Arial" w:eastAsia="Times New Roman" w:hAnsi="Arial" w:cs="Arial"/>
                <w:bCs/>
                <w:sz w:val="18"/>
                <w:szCs w:val="18"/>
                <w:lang w:eastAsia="tr-TR"/>
              </w:rPr>
              <w:t>0,3</w:t>
            </w:r>
          </w:p>
        </w:tc>
        <w:tc>
          <w:tcPr>
            <w:tcW w:w="1068"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Cs/>
                <w:sz w:val="18"/>
                <w:szCs w:val="18"/>
                <w:lang w:eastAsia="tr-TR"/>
              </w:rPr>
            </w:pPr>
            <w:r w:rsidRPr="00071923">
              <w:rPr>
                <w:rFonts w:ascii="Arial" w:eastAsia="Times New Roman" w:hAnsi="Arial" w:cs="Arial"/>
                <w:bCs/>
                <w:sz w:val="18"/>
                <w:szCs w:val="18"/>
                <w:lang w:eastAsia="tr-TR"/>
              </w:rPr>
              <w:t>0,2</w:t>
            </w:r>
          </w:p>
        </w:tc>
        <w:tc>
          <w:tcPr>
            <w:tcW w:w="1134"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Cs/>
                <w:sz w:val="18"/>
                <w:szCs w:val="18"/>
                <w:lang w:eastAsia="tr-TR"/>
              </w:rPr>
            </w:pPr>
            <w:r w:rsidRPr="00071923">
              <w:rPr>
                <w:rFonts w:ascii="Arial" w:eastAsia="Times New Roman" w:hAnsi="Arial" w:cs="Arial"/>
                <w:bCs/>
                <w:sz w:val="18"/>
                <w:szCs w:val="18"/>
                <w:lang w:eastAsia="tr-TR"/>
              </w:rPr>
              <w:t>0,2</w:t>
            </w:r>
          </w:p>
        </w:tc>
        <w:tc>
          <w:tcPr>
            <w:tcW w:w="1062" w:type="dxa"/>
            <w:tcBorders>
              <w:top w:val="nil"/>
              <w:left w:val="nil"/>
              <w:bottom w:val="nil"/>
              <w:right w:val="single" w:sz="12"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Cs/>
                <w:sz w:val="18"/>
                <w:szCs w:val="18"/>
                <w:lang w:eastAsia="tr-TR"/>
              </w:rPr>
            </w:pPr>
            <w:r w:rsidRPr="00071923">
              <w:rPr>
                <w:rFonts w:ascii="Arial" w:eastAsia="Times New Roman" w:hAnsi="Arial" w:cs="Arial"/>
                <w:bCs/>
                <w:sz w:val="18"/>
                <w:szCs w:val="18"/>
                <w:lang w:eastAsia="tr-TR"/>
              </w:rPr>
              <w:t>0,2</w:t>
            </w:r>
          </w:p>
        </w:tc>
      </w:tr>
      <w:tr w:rsidR="00B903E0" w:rsidRPr="00071923" w:rsidTr="00B903E0">
        <w:trPr>
          <w:trHeight w:val="300"/>
        </w:trPr>
        <w:tc>
          <w:tcPr>
            <w:tcW w:w="3959"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071923">
            <w:pPr>
              <w:spacing w:after="0" w:line="240" w:lineRule="auto"/>
              <w:ind w:firstLineChars="300" w:firstLine="540"/>
              <w:rPr>
                <w:rFonts w:ascii="Arial" w:eastAsia="Times New Roman" w:hAnsi="Arial" w:cs="Arial"/>
                <w:sz w:val="18"/>
                <w:szCs w:val="18"/>
                <w:lang w:eastAsia="tr-TR"/>
              </w:rPr>
            </w:pPr>
            <w:r w:rsidRPr="00071923">
              <w:rPr>
                <w:rFonts w:ascii="Arial" w:eastAsia="Times New Roman" w:hAnsi="Arial" w:cs="Arial"/>
                <w:sz w:val="18"/>
                <w:szCs w:val="18"/>
                <w:lang w:eastAsia="tr-TR"/>
              </w:rPr>
              <w:t>Sosyal Güvenlik Kuruluşları</w:t>
            </w:r>
          </w:p>
        </w:tc>
        <w:tc>
          <w:tcPr>
            <w:tcW w:w="962"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Cs/>
                <w:sz w:val="18"/>
                <w:szCs w:val="18"/>
                <w:lang w:eastAsia="tr-TR"/>
              </w:rPr>
            </w:pPr>
            <w:r w:rsidRPr="00071923">
              <w:rPr>
                <w:rFonts w:ascii="Arial" w:eastAsia="Times New Roman" w:hAnsi="Arial" w:cs="Arial"/>
                <w:bCs/>
                <w:sz w:val="18"/>
                <w:szCs w:val="18"/>
                <w:lang w:eastAsia="tr-TR"/>
              </w:rPr>
              <w:t>0,0</w:t>
            </w:r>
          </w:p>
        </w:tc>
        <w:tc>
          <w:tcPr>
            <w:tcW w:w="962"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Cs/>
                <w:sz w:val="18"/>
                <w:szCs w:val="18"/>
                <w:lang w:eastAsia="tr-TR"/>
              </w:rPr>
            </w:pPr>
            <w:r w:rsidRPr="00071923">
              <w:rPr>
                <w:rFonts w:ascii="Arial" w:eastAsia="Times New Roman" w:hAnsi="Arial" w:cs="Arial"/>
                <w:bCs/>
                <w:sz w:val="18"/>
                <w:szCs w:val="18"/>
                <w:lang w:eastAsia="tr-TR"/>
              </w:rPr>
              <w:t>-0,4</w:t>
            </w:r>
          </w:p>
        </w:tc>
        <w:tc>
          <w:tcPr>
            <w:tcW w:w="1068"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Cs/>
                <w:sz w:val="18"/>
                <w:szCs w:val="18"/>
                <w:lang w:eastAsia="tr-TR"/>
              </w:rPr>
            </w:pPr>
            <w:r w:rsidRPr="00071923">
              <w:rPr>
                <w:rFonts w:ascii="Arial" w:eastAsia="Times New Roman" w:hAnsi="Arial" w:cs="Arial"/>
                <w:bCs/>
                <w:sz w:val="18"/>
                <w:szCs w:val="18"/>
                <w:lang w:eastAsia="tr-TR"/>
              </w:rPr>
              <w:t>-0,4</w:t>
            </w:r>
          </w:p>
        </w:tc>
        <w:tc>
          <w:tcPr>
            <w:tcW w:w="1134"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Cs/>
                <w:sz w:val="18"/>
                <w:szCs w:val="18"/>
                <w:lang w:eastAsia="tr-TR"/>
              </w:rPr>
            </w:pPr>
            <w:r w:rsidRPr="00071923">
              <w:rPr>
                <w:rFonts w:ascii="Arial" w:eastAsia="Times New Roman" w:hAnsi="Arial" w:cs="Arial"/>
                <w:bCs/>
                <w:sz w:val="18"/>
                <w:szCs w:val="18"/>
                <w:lang w:eastAsia="tr-TR"/>
              </w:rPr>
              <w:t>-0,5</w:t>
            </w:r>
          </w:p>
        </w:tc>
        <w:tc>
          <w:tcPr>
            <w:tcW w:w="1062" w:type="dxa"/>
            <w:tcBorders>
              <w:top w:val="nil"/>
              <w:left w:val="nil"/>
              <w:bottom w:val="nil"/>
              <w:right w:val="single" w:sz="12"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Cs/>
                <w:sz w:val="18"/>
                <w:szCs w:val="18"/>
                <w:lang w:eastAsia="tr-TR"/>
              </w:rPr>
            </w:pPr>
            <w:r w:rsidRPr="00071923">
              <w:rPr>
                <w:rFonts w:ascii="Arial" w:eastAsia="Times New Roman" w:hAnsi="Arial" w:cs="Arial"/>
                <w:bCs/>
                <w:sz w:val="18"/>
                <w:szCs w:val="18"/>
                <w:lang w:eastAsia="tr-TR"/>
              </w:rPr>
              <w:t>-0,6</w:t>
            </w:r>
          </w:p>
        </w:tc>
      </w:tr>
      <w:tr w:rsidR="00B903E0" w:rsidRPr="00071923" w:rsidTr="00B903E0">
        <w:trPr>
          <w:trHeight w:val="300"/>
        </w:trPr>
        <w:tc>
          <w:tcPr>
            <w:tcW w:w="3959"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071923">
            <w:pPr>
              <w:spacing w:after="0" w:line="240" w:lineRule="auto"/>
              <w:ind w:firstLineChars="300" w:firstLine="540"/>
              <w:rPr>
                <w:rFonts w:ascii="Arial" w:eastAsia="Times New Roman" w:hAnsi="Arial" w:cs="Arial"/>
                <w:sz w:val="18"/>
                <w:szCs w:val="18"/>
                <w:lang w:eastAsia="tr-TR"/>
              </w:rPr>
            </w:pPr>
            <w:r w:rsidRPr="00071923">
              <w:rPr>
                <w:rFonts w:ascii="Arial" w:eastAsia="Times New Roman" w:hAnsi="Arial" w:cs="Arial"/>
                <w:sz w:val="18"/>
                <w:szCs w:val="18"/>
                <w:lang w:eastAsia="tr-TR"/>
              </w:rPr>
              <w:t>Genel Sağlık Sigortası</w:t>
            </w:r>
          </w:p>
        </w:tc>
        <w:tc>
          <w:tcPr>
            <w:tcW w:w="962"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Cs/>
                <w:sz w:val="18"/>
                <w:szCs w:val="18"/>
                <w:lang w:eastAsia="tr-TR"/>
              </w:rPr>
            </w:pPr>
            <w:r w:rsidRPr="00071923">
              <w:rPr>
                <w:rFonts w:ascii="Arial" w:eastAsia="Times New Roman" w:hAnsi="Arial" w:cs="Arial"/>
                <w:bCs/>
                <w:sz w:val="18"/>
                <w:szCs w:val="18"/>
                <w:lang w:eastAsia="tr-TR"/>
              </w:rPr>
              <w:t>0,0</w:t>
            </w:r>
          </w:p>
        </w:tc>
        <w:tc>
          <w:tcPr>
            <w:tcW w:w="962"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Cs/>
                <w:sz w:val="18"/>
                <w:szCs w:val="18"/>
                <w:lang w:eastAsia="tr-TR"/>
              </w:rPr>
            </w:pPr>
            <w:r w:rsidRPr="00071923">
              <w:rPr>
                <w:rFonts w:ascii="Arial" w:eastAsia="Times New Roman" w:hAnsi="Arial" w:cs="Arial"/>
                <w:bCs/>
                <w:sz w:val="18"/>
                <w:szCs w:val="18"/>
                <w:lang w:eastAsia="tr-TR"/>
              </w:rPr>
              <w:t>0,4</w:t>
            </w:r>
          </w:p>
        </w:tc>
        <w:tc>
          <w:tcPr>
            <w:tcW w:w="1068"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Cs/>
                <w:sz w:val="18"/>
                <w:szCs w:val="18"/>
                <w:lang w:eastAsia="tr-TR"/>
              </w:rPr>
            </w:pPr>
            <w:r w:rsidRPr="00071923">
              <w:rPr>
                <w:rFonts w:ascii="Arial" w:eastAsia="Times New Roman" w:hAnsi="Arial" w:cs="Arial"/>
                <w:bCs/>
                <w:sz w:val="18"/>
                <w:szCs w:val="18"/>
                <w:lang w:eastAsia="tr-TR"/>
              </w:rPr>
              <w:t>0,4</w:t>
            </w:r>
          </w:p>
        </w:tc>
        <w:tc>
          <w:tcPr>
            <w:tcW w:w="1134"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Cs/>
                <w:sz w:val="18"/>
                <w:szCs w:val="18"/>
                <w:lang w:eastAsia="tr-TR"/>
              </w:rPr>
            </w:pPr>
            <w:r w:rsidRPr="00071923">
              <w:rPr>
                <w:rFonts w:ascii="Arial" w:eastAsia="Times New Roman" w:hAnsi="Arial" w:cs="Arial"/>
                <w:bCs/>
                <w:sz w:val="18"/>
                <w:szCs w:val="18"/>
                <w:lang w:eastAsia="tr-TR"/>
              </w:rPr>
              <w:t>0,5</w:t>
            </w:r>
          </w:p>
        </w:tc>
        <w:tc>
          <w:tcPr>
            <w:tcW w:w="1062" w:type="dxa"/>
            <w:tcBorders>
              <w:top w:val="nil"/>
              <w:left w:val="nil"/>
              <w:bottom w:val="nil"/>
              <w:right w:val="single" w:sz="12"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Cs/>
                <w:sz w:val="18"/>
                <w:szCs w:val="18"/>
                <w:lang w:eastAsia="tr-TR"/>
              </w:rPr>
            </w:pPr>
            <w:r w:rsidRPr="00071923">
              <w:rPr>
                <w:rFonts w:ascii="Arial" w:eastAsia="Times New Roman" w:hAnsi="Arial" w:cs="Arial"/>
                <w:bCs/>
                <w:sz w:val="18"/>
                <w:szCs w:val="18"/>
                <w:lang w:eastAsia="tr-TR"/>
              </w:rPr>
              <w:t>0,6</w:t>
            </w:r>
          </w:p>
        </w:tc>
      </w:tr>
      <w:tr w:rsidR="00B903E0" w:rsidRPr="00071923" w:rsidTr="00B903E0">
        <w:trPr>
          <w:trHeight w:val="300"/>
        </w:trPr>
        <w:tc>
          <w:tcPr>
            <w:tcW w:w="3959"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071923">
            <w:pPr>
              <w:spacing w:after="0" w:line="240" w:lineRule="auto"/>
              <w:ind w:firstLineChars="300" w:firstLine="540"/>
              <w:rPr>
                <w:rFonts w:ascii="Arial" w:eastAsia="Times New Roman" w:hAnsi="Arial" w:cs="Arial"/>
                <w:sz w:val="18"/>
                <w:szCs w:val="18"/>
                <w:lang w:eastAsia="tr-TR"/>
              </w:rPr>
            </w:pPr>
            <w:r w:rsidRPr="00071923">
              <w:rPr>
                <w:rFonts w:ascii="Arial" w:eastAsia="Times New Roman" w:hAnsi="Arial" w:cs="Arial"/>
                <w:sz w:val="18"/>
                <w:szCs w:val="18"/>
                <w:lang w:eastAsia="tr-TR"/>
              </w:rPr>
              <w:t>Döner Sermayeli Kuruluşlar</w:t>
            </w:r>
          </w:p>
        </w:tc>
        <w:tc>
          <w:tcPr>
            <w:tcW w:w="962"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Cs/>
                <w:sz w:val="18"/>
                <w:szCs w:val="18"/>
                <w:lang w:eastAsia="tr-TR"/>
              </w:rPr>
            </w:pPr>
            <w:r w:rsidRPr="00071923">
              <w:rPr>
                <w:rFonts w:ascii="Arial" w:eastAsia="Times New Roman" w:hAnsi="Arial" w:cs="Arial"/>
                <w:bCs/>
                <w:sz w:val="18"/>
                <w:szCs w:val="18"/>
                <w:lang w:eastAsia="tr-TR"/>
              </w:rPr>
              <w:t>0,0</w:t>
            </w:r>
          </w:p>
        </w:tc>
        <w:tc>
          <w:tcPr>
            <w:tcW w:w="962"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Cs/>
                <w:sz w:val="18"/>
                <w:szCs w:val="18"/>
                <w:lang w:eastAsia="tr-TR"/>
              </w:rPr>
            </w:pPr>
            <w:r w:rsidRPr="00071923">
              <w:rPr>
                <w:rFonts w:ascii="Arial" w:eastAsia="Times New Roman" w:hAnsi="Arial" w:cs="Arial"/>
                <w:bCs/>
                <w:sz w:val="18"/>
                <w:szCs w:val="18"/>
                <w:lang w:eastAsia="tr-TR"/>
              </w:rPr>
              <w:t>0,1</w:t>
            </w:r>
          </w:p>
        </w:tc>
        <w:tc>
          <w:tcPr>
            <w:tcW w:w="1068"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Cs/>
                <w:sz w:val="18"/>
                <w:szCs w:val="18"/>
                <w:lang w:eastAsia="tr-TR"/>
              </w:rPr>
            </w:pPr>
            <w:r w:rsidRPr="00071923">
              <w:rPr>
                <w:rFonts w:ascii="Arial" w:eastAsia="Times New Roman" w:hAnsi="Arial" w:cs="Arial"/>
                <w:bCs/>
                <w:sz w:val="18"/>
                <w:szCs w:val="18"/>
                <w:lang w:eastAsia="tr-TR"/>
              </w:rPr>
              <w:t>0,0</w:t>
            </w:r>
          </w:p>
        </w:tc>
        <w:tc>
          <w:tcPr>
            <w:tcW w:w="1134" w:type="dxa"/>
            <w:tcBorders>
              <w:top w:val="nil"/>
              <w:left w:val="nil"/>
              <w:bottom w:val="nil"/>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Cs/>
                <w:sz w:val="18"/>
                <w:szCs w:val="18"/>
                <w:lang w:eastAsia="tr-TR"/>
              </w:rPr>
            </w:pPr>
            <w:r w:rsidRPr="00071923">
              <w:rPr>
                <w:rFonts w:ascii="Arial" w:eastAsia="Times New Roman" w:hAnsi="Arial" w:cs="Arial"/>
                <w:bCs/>
                <w:sz w:val="18"/>
                <w:szCs w:val="18"/>
                <w:lang w:eastAsia="tr-TR"/>
              </w:rPr>
              <w:t>0,0</w:t>
            </w:r>
          </w:p>
        </w:tc>
        <w:tc>
          <w:tcPr>
            <w:tcW w:w="1062" w:type="dxa"/>
            <w:tcBorders>
              <w:top w:val="nil"/>
              <w:left w:val="nil"/>
              <w:bottom w:val="nil"/>
              <w:right w:val="single" w:sz="12"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Cs/>
                <w:sz w:val="18"/>
                <w:szCs w:val="18"/>
                <w:lang w:eastAsia="tr-TR"/>
              </w:rPr>
            </w:pPr>
            <w:r w:rsidRPr="00071923">
              <w:rPr>
                <w:rFonts w:ascii="Arial" w:eastAsia="Times New Roman" w:hAnsi="Arial" w:cs="Arial"/>
                <w:bCs/>
                <w:sz w:val="18"/>
                <w:szCs w:val="18"/>
                <w:lang w:eastAsia="tr-TR"/>
              </w:rPr>
              <w:t>0,0</w:t>
            </w:r>
          </w:p>
        </w:tc>
      </w:tr>
      <w:tr w:rsidR="00B903E0" w:rsidRPr="00071923" w:rsidTr="00B903E0">
        <w:trPr>
          <w:trHeight w:val="300"/>
        </w:trPr>
        <w:tc>
          <w:tcPr>
            <w:tcW w:w="3959" w:type="dxa"/>
            <w:tcBorders>
              <w:top w:val="nil"/>
              <w:left w:val="single" w:sz="12" w:space="0" w:color="auto"/>
              <w:bottom w:val="single" w:sz="12" w:space="0" w:color="auto"/>
              <w:right w:val="single" w:sz="4" w:space="0" w:color="auto"/>
            </w:tcBorders>
            <w:shd w:val="clear" w:color="000000" w:fill="FFFFFF"/>
            <w:noWrap/>
            <w:vAlign w:val="center"/>
            <w:hideMark/>
          </w:tcPr>
          <w:p w:rsidR="00B903E0" w:rsidRPr="00071923" w:rsidRDefault="00B903E0" w:rsidP="00071923">
            <w:pPr>
              <w:spacing w:after="0" w:line="240" w:lineRule="auto"/>
              <w:ind w:firstLineChars="200" w:firstLine="361"/>
              <w:rPr>
                <w:rFonts w:ascii="Arial" w:eastAsia="Times New Roman" w:hAnsi="Arial" w:cs="Arial"/>
                <w:b/>
                <w:bCs/>
                <w:color w:val="000000"/>
                <w:sz w:val="18"/>
                <w:szCs w:val="18"/>
                <w:lang w:eastAsia="tr-TR"/>
              </w:rPr>
            </w:pPr>
            <w:r w:rsidRPr="00071923">
              <w:rPr>
                <w:rFonts w:ascii="Arial" w:eastAsia="Times New Roman" w:hAnsi="Arial" w:cs="Arial"/>
                <w:b/>
                <w:bCs/>
                <w:color w:val="000000"/>
                <w:sz w:val="18"/>
                <w:szCs w:val="18"/>
                <w:lang w:eastAsia="tr-TR"/>
              </w:rPr>
              <w:t>KİT'ler</w:t>
            </w:r>
          </w:p>
        </w:tc>
        <w:tc>
          <w:tcPr>
            <w:tcW w:w="962" w:type="dxa"/>
            <w:tcBorders>
              <w:top w:val="nil"/>
              <w:left w:val="nil"/>
              <w:bottom w:val="single" w:sz="12" w:space="0" w:color="auto"/>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0,0</w:t>
            </w:r>
          </w:p>
        </w:tc>
        <w:tc>
          <w:tcPr>
            <w:tcW w:w="962" w:type="dxa"/>
            <w:tcBorders>
              <w:top w:val="nil"/>
              <w:left w:val="nil"/>
              <w:bottom w:val="single" w:sz="12" w:space="0" w:color="auto"/>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0,2</w:t>
            </w:r>
          </w:p>
        </w:tc>
        <w:tc>
          <w:tcPr>
            <w:tcW w:w="1068" w:type="dxa"/>
            <w:tcBorders>
              <w:top w:val="nil"/>
              <w:left w:val="nil"/>
              <w:bottom w:val="single" w:sz="12" w:space="0" w:color="auto"/>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0,1</w:t>
            </w:r>
          </w:p>
        </w:tc>
        <w:tc>
          <w:tcPr>
            <w:tcW w:w="1134" w:type="dxa"/>
            <w:tcBorders>
              <w:top w:val="nil"/>
              <w:left w:val="nil"/>
              <w:bottom w:val="single" w:sz="12" w:space="0" w:color="auto"/>
              <w:right w:val="single" w:sz="4"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0,0</w:t>
            </w:r>
          </w:p>
        </w:tc>
        <w:tc>
          <w:tcPr>
            <w:tcW w:w="1062" w:type="dxa"/>
            <w:tcBorders>
              <w:top w:val="nil"/>
              <w:left w:val="nil"/>
              <w:bottom w:val="single" w:sz="12" w:space="0" w:color="auto"/>
              <w:right w:val="single" w:sz="12" w:space="0" w:color="auto"/>
            </w:tcBorders>
            <w:shd w:val="clear" w:color="000000" w:fill="FFFFFF"/>
            <w:noWrap/>
            <w:vAlign w:val="center"/>
            <w:hideMark/>
          </w:tcPr>
          <w:p w:rsidR="00B903E0" w:rsidRPr="00071923" w:rsidRDefault="00B903E0" w:rsidP="00B903E0">
            <w:pPr>
              <w:spacing w:after="0" w:line="240" w:lineRule="auto"/>
              <w:ind w:left="170"/>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0,0</w:t>
            </w:r>
          </w:p>
        </w:tc>
      </w:tr>
    </w:tbl>
    <w:p w:rsidR="00B903E0" w:rsidRPr="00071923" w:rsidRDefault="00B903E0" w:rsidP="00B903E0">
      <w:pPr>
        <w:pStyle w:val="Default"/>
        <w:jc w:val="both"/>
        <w:rPr>
          <w:rFonts w:ascii="Arial" w:hAnsi="Arial" w:cs="Arial"/>
          <w:color w:val="auto"/>
          <w:sz w:val="16"/>
          <w:szCs w:val="18"/>
        </w:rPr>
      </w:pPr>
      <w:r w:rsidRPr="00071923">
        <w:rPr>
          <w:rFonts w:ascii="Arial" w:hAnsi="Arial" w:cs="Arial"/>
          <w:color w:val="auto"/>
          <w:sz w:val="16"/>
          <w:szCs w:val="18"/>
        </w:rPr>
        <w:t>(1) Faiz gelirleri ve giderleri, özelleştirme gelirleri, kamu bankaları kâr payları ve bazı özellikli gelirler ile giderler hariç tutularak hesaplanmaktadır.</w:t>
      </w:r>
    </w:p>
    <w:p w:rsidR="00B903E0" w:rsidRPr="00071923" w:rsidRDefault="00B903E0" w:rsidP="00B903E0">
      <w:pPr>
        <w:pStyle w:val="Default"/>
        <w:jc w:val="both"/>
        <w:rPr>
          <w:rFonts w:ascii="Arial" w:hAnsi="Arial" w:cs="Arial"/>
          <w:color w:val="auto"/>
          <w:sz w:val="16"/>
          <w:szCs w:val="18"/>
        </w:rPr>
      </w:pPr>
    </w:p>
    <w:p w:rsidR="00B903E0" w:rsidRPr="00071923" w:rsidRDefault="00B903E0" w:rsidP="00B903E0">
      <w:pPr>
        <w:spacing w:after="0" w:line="240" w:lineRule="auto"/>
        <w:ind w:right="-1134"/>
        <w:rPr>
          <w:rFonts w:ascii="Arial" w:hAnsi="Arial" w:cs="Arial"/>
          <w:sz w:val="16"/>
        </w:rPr>
      </w:pPr>
    </w:p>
    <w:p w:rsidR="00B903E0" w:rsidRPr="00071923" w:rsidRDefault="00B903E0" w:rsidP="00B903E0">
      <w:pPr>
        <w:spacing w:after="0" w:line="240" w:lineRule="auto"/>
        <w:ind w:right="-1134"/>
        <w:rPr>
          <w:rFonts w:ascii="Arial" w:hAnsi="Arial" w:cs="Arial"/>
          <w:sz w:val="16"/>
        </w:rPr>
      </w:pPr>
    </w:p>
    <w:p w:rsidR="00B903E0" w:rsidRPr="00071923" w:rsidRDefault="00B903E0" w:rsidP="00B903E0">
      <w:pPr>
        <w:spacing w:after="0" w:line="240" w:lineRule="auto"/>
        <w:ind w:right="-1134"/>
        <w:rPr>
          <w:rFonts w:ascii="Arial" w:hAnsi="Arial" w:cs="Arial"/>
          <w:sz w:val="16"/>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968"/>
        <w:gridCol w:w="989"/>
        <w:gridCol w:w="991"/>
        <w:gridCol w:w="983"/>
        <w:gridCol w:w="1150"/>
        <w:gridCol w:w="991"/>
      </w:tblGrid>
      <w:tr w:rsidR="00B903E0" w:rsidRPr="00071923" w:rsidTr="00887151">
        <w:trPr>
          <w:trHeight w:val="299"/>
        </w:trPr>
        <w:tc>
          <w:tcPr>
            <w:tcW w:w="3278" w:type="pct"/>
            <w:gridSpan w:val="3"/>
            <w:tcBorders>
              <w:top w:val="nil"/>
              <w:left w:val="nil"/>
              <w:bottom w:val="single" w:sz="12" w:space="0" w:color="auto"/>
              <w:right w:val="nil"/>
            </w:tcBorders>
            <w:shd w:val="clear" w:color="000000" w:fill="FFFFFF"/>
            <w:noWrap/>
            <w:vAlign w:val="bottom"/>
          </w:tcPr>
          <w:p w:rsidR="00B903E0" w:rsidRPr="00071923" w:rsidRDefault="00B903E0" w:rsidP="00887151">
            <w:pPr>
              <w:spacing w:after="0" w:line="240" w:lineRule="auto"/>
              <w:rPr>
                <w:rFonts w:ascii="Arial" w:hAnsi="Arial" w:cs="Arial"/>
                <w:b/>
                <w:bCs/>
                <w:sz w:val="16"/>
                <w:szCs w:val="16"/>
              </w:rPr>
            </w:pPr>
            <w:r w:rsidRPr="00071923">
              <w:rPr>
                <w:rFonts w:ascii="Arial" w:hAnsi="Arial" w:cs="Arial"/>
                <w:b/>
              </w:rPr>
              <w:t>Ek Tablo 4: Kamu Kesimine İlişkin Diğer Göstergeler</w:t>
            </w:r>
            <w:r w:rsidRPr="00071923">
              <w:rPr>
                <w:rFonts w:ascii="Arial" w:hAnsi="Arial" w:cs="Arial"/>
                <w:b/>
                <w:sz w:val="18"/>
                <w:szCs w:val="16"/>
              </w:rPr>
              <w:t xml:space="preserve">               </w:t>
            </w:r>
          </w:p>
        </w:tc>
        <w:tc>
          <w:tcPr>
            <w:tcW w:w="1722" w:type="pct"/>
            <w:gridSpan w:val="3"/>
            <w:tcBorders>
              <w:top w:val="nil"/>
              <w:left w:val="nil"/>
              <w:bottom w:val="single" w:sz="12" w:space="0" w:color="auto"/>
              <w:right w:val="nil"/>
            </w:tcBorders>
            <w:shd w:val="clear" w:color="000000" w:fill="FFFFFF"/>
            <w:vAlign w:val="bottom"/>
          </w:tcPr>
          <w:p w:rsidR="00B903E0" w:rsidRPr="00071923" w:rsidRDefault="00B903E0" w:rsidP="00887151">
            <w:pPr>
              <w:spacing w:after="0" w:line="240" w:lineRule="auto"/>
              <w:jc w:val="right"/>
              <w:rPr>
                <w:rFonts w:ascii="Arial" w:hAnsi="Arial" w:cs="Arial"/>
                <w:b/>
                <w:bCs/>
                <w:sz w:val="16"/>
                <w:szCs w:val="16"/>
              </w:rPr>
            </w:pPr>
          </w:p>
        </w:tc>
      </w:tr>
      <w:tr w:rsidR="00B903E0" w:rsidRPr="00071923" w:rsidTr="00887151">
        <w:trPr>
          <w:trHeight w:val="299"/>
        </w:trPr>
        <w:tc>
          <w:tcPr>
            <w:tcW w:w="2187" w:type="pct"/>
            <w:vMerge w:val="restart"/>
            <w:tcBorders>
              <w:top w:val="single" w:sz="12" w:space="0" w:color="auto"/>
              <w:left w:val="single" w:sz="12" w:space="0" w:color="auto"/>
            </w:tcBorders>
            <w:shd w:val="clear" w:color="000000" w:fill="FFFFFF"/>
            <w:noWrap/>
            <w:vAlign w:val="bottom"/>
          </w:tcPr>
          <w:p w:rsidR="00B903E0" w:rsidRPr="00071923" w:rsidRDefault="00B903E0" w:rsidP="00887151">
            <w:pPr>
              <w:rPr>
                <w:rFonts w:ascii="Arial" w:hAnsi="Arial" w:cs="Arial"/>
                <w:sz w:val="18"/>
                <w:szCs w:val="18"/>
              </w:rPr>
            </w:pPr>
            <w:r w:rsidRPr="00071923">
              <w:rPr>
                <w:rFonts w:ascii="Arial" w:hAnsi="Arial" w:cs="Arial"/>
                <w:sz w:val="18"/>
                <w:szCs w:val="18"/>
              </w:rPr>
              <w:t> </w:t>
            </w:r>
          </w:p>
        </w:tc>
        <w:tc>
          <w:tcPr>
            <w:tcW w:w="545" w:type="pct"/>
            <w:tcBorders>
              <w:top w:val="single" w:sz="12" w:space="0" w:color="auto"/>
              <w:bottom w:val="nil"/>
            </w:tcBorders>
            <w:shd w:val="clear" w:color="000000" w:fill="FFFFFF"/>
            <w:noWrap/>
            <w:vAlign w:val="center"/>
          </w:tcPr>
          <w:p w:rsidR="00B903E0" w:rsidRPr="00071923" w:rsidRDefault="00B903E0" w:rsidP="00887151">
            <w:pPr>
              <w:spacing w:after="0" w:line="240" w:lineRule="auto"/>
              <w:jc w:val="center"/>
              <w:rPr>
                <w:rFonts w:ascii="Arial" w:hAnsi="Arial" w:cs="Arial"/>
                <w:b/>
                <w:bCs/>
                <w:sz w:val="18"/>
                <w:szCs w:val="18"/>
              </w:rPr>
            </w:pPr>
          </w:p>
        </w:tc>
        <w:tc>
          <w:tcPr>
            <w:tcW w:w="546" w:type="pct"/>
            <w:tcBorders>
              <w:top w:val="single" w:sz="12" w:space="0" w:color="auto"/>
              <w:bottom w:val="nil"/>
            </w:tcBorders>
            <w:shd w:val="clear" w:color="000000" w:fill="FFFFFF"/>
            <w:noWrap/>
            <w:vAlign w:val="center"/>
          </w:tcPr>
          <w:p w:rsidR="00B903E0" w:rsidRPr="00071923" w:rsidRDefault="00B903E0" w:rsidP="00887151">
            <w:pPr>
              <w:spacing w:after="0" w:line="240" w:lineRule="auto"/>
              <w:jc w:val="center"/>
              <w:rPr>
                <w:rFonts w:ascii="Arial" w:hAnsi="Arial" w:cs="Arial"/>
                <w:b/>
                <w:bCs/>
                <w:sz w:val="18"/>
                <w:szCs w:val="18"/>
              </w:rPr>
            </w:pPr>
          </w:p>
        </w:tc>
        <w:tc>
          <w:tcPr>
            <w:tcW w:w="1722" w:type="pct"/>
            <w:gridSpan w:val="3"/>
            <w:tcBorders>
              <w:top w:val="single" w:sz="12" w:space="0" w:color="auto"/>
              <w:bottom w:val="single" w:sz="6" w:space="0" w:color="auto"/>
              <w:right w:val="single" w:sz="12" w:space="0" w:color="auto"/>
            </w:tcBorders>
            <w:shd w:val="clear" w:color="000000" w:fill="FFFFFF"/>
            <w:noWrap/>
            <w:vAlign w:val="center"/>
          </w:tcPr>
          <w:p w:rsidR="00B903E0" w:rsidRPr="00071923" w:rsidRDefault="00B903E0" w:rsidP="00887151">
            <w:pPr>
              <w:spacing w:after="0" w:line="240" w:lineRule="auto"/>
              <w:jc w:val="center"/>
              <w:rPr>
                <w:rFonts w:ascii="Arial" w:hAnsi="Arial" w:cs="Arial"/>
                <w:b/>
                <w:bCs/>
                <w:sz w:val="18"/>
                <w:szCs w:val="18"/>
              </w:rPr>
            </w:pPr>
            <w:r w:rsidRPr="00071923">
              <w:rPr>
                <w:rFonts w:ascii="Arial" w:hAnsi="Arial" w:cs="Arial"/>
                <w:b/>
                <w:bCs/>
                <w:sz w:val="18"/>
                <w:szCs w:val="18"/>
              </w:rPr>
              <w:t>OVP</w:t>
            </w:r>
          </w:p>
        </w:tc>
      </w:tr>
      <w:tr w:rsidR="00B903E0" w:rsidRPr="00071923" w:rsidTr="00887151">
        <w:trPr>
          <w:trHeight w:val="299"/>
        </w:trPr>
        <w:tc>
          <w:tcPr>
            <w:tcW w:w="2187" w:type="pct"/>
            <w:vMerge/>
            <w:tcBorders>
              <w:top w:val="nil"/>
              <w:left w:val="single" w:sz="12" w:space="0" w:color="auto"/>
              <w:bottom w:val="single" w:sz="12" w:space="0" w:color="auto"/>
            </w:tcBorders>
            <w:shd w:val="clear" w:color="000000" w:fill="FFFFFF"/>
            <w:noWrap/>
            <w:vAlign w:val="bottom"/>
            <w:hideMark/>
          </w:tcPr>
          <w:p w:rsidR="00B903E0" w:rsidRPr="00071923" w:rsidRDefault="00B903E0" w:rsidP="00887151">
            <w:pPr>
              <w:rPr>
                <w:rFonts w:ascii="Arial" w:hAnsi="Arial" w:cs="Arial"/>
                <w:sz w:val="18"/>
                <w:szCs w:val="18"/>
              </w:rPr>
            </w:pPr>
          </w:p>
        </w:tc>
        <w:tc>
          <w:tcPr>
            <w:tcW w:w="545" w:type="pct"/>
            <w:tcBorders>
              <w:top w:val="nil"/>
              <w:bottom w:val="single" w:sz="12" w:space="0" w:color="auto"/>
            </w:tcBorders>
            <w:shd w:val="clear" w:color="000000" w:fill="FFFFFF"/>
            <w:noWrap/>
            <w:vAlign w:val="center"/>
            <w:hideMark/>
          </w:tcPr>
          <w:p w:rsidR="00B903E0" w:rsidRPr="00071923" w:rsidRDefault="00B903E0" w:rsidP="00887151">
            <w:pPr>
              <w:spacing w:after="0" w:line="240" w:lineRule="auto"/>
              <w:jc w:val="center"/>
              <w:rPr>
                <w:rFonts w:ascii="Arial" w:hAnsi="Arial" w:cs="Arial"/>
                <w:b/>
                <w:bCs/>
                <w:sz w:val="18"/>
                <w:szCs w:val="18"/>
              </w:rPr>
            </w:pPr>
            <w:r w:rsidRPr="00071923">
              <w:rPr>
                <w:rFonts w:ascii="Arial" w:hAnsi="Arial" w:cs="Arial"/>
                <w:b/>
                <w:bCs/>
                <w:sz w:val="18"/>
                <w:szCs w:val="18"/>
              </w:rPr>
              <w:t>2012</w:t>
            </w:r>
          </w:p>
        </w:tc>
        <w:tc>
          <w:tcPr>
            <w:tcW w:w="546" w:type="pct"/>
            <w:tcBorders>
              <w:top w:val="nil"/>
              <w:bottom w:val="single" w:sz="12" w:space="0" w:color="auto"/>
            </w:tcBorders>
            <w:shd w:val="clear" w:color="000000" w:fill="FFFFFF"/>
            <w:noWrap/>
            <w:vAlign w:val="center"/>
            <w:hideMark/>
          </w:tcPr>
          <w:p w:rsidR="00B903E0" w:rsidRPr="00071923" w:rsidRDefault="00B903E0" w:rsidP="00887151">
            <w:pPr>
              <w:spacing w:after="0" w:line="240" w:lineRule="auto"/>
              <w:jc w:val="center"/>
              <w:rPr>
                <w:rFonts w:ascii="Arial" w:hAnsi="Arial" w:cs="Arial"/>
                <w:b/>
                <w:bCs/>
                <w:sz w:val="18"/>
                <w:szCs w:val="18"/>
              </w:rPr>
            </w:pPr>
            <w:r w:rsidRPr="00071923">
              <w:rPr>
                <w:rFonts w:ascii="Arial" w:hAnsi="Arial" w:cs="Arial"/>
                <w:b/>
                <w:bCs/>
                <w:sz w:val="18"/>
                <w:szCs w:val="18"/>
              </w:rPr>
              <w:t>2013 GT</w:t>
            </w:r>
          </w:p>
        </w:tc>
        <w:tc>
          <w:tcPr>
            <w:tcW w:w="542" w:type="pct"/>
            <w:tcBorders>
              <w:bottom w:val="single" w:sz="12" w:space="0" w:color="auto"/>
            </w:tcBorders>
            <w:shd w:val="clear" w:color="000000" w:fill="FFFFFF"/>
            <w:noWrap/>
            <w:vAlign w:val="center"/>
            <w:hideMark/>
          </w:tcPr>
          <w:p w:rsidR="00B903E0" w:rsidRPr="00071923" w:rsidRDefault="00B903E0" w:rsidP="00887151">
            <w:pPr>
              <w:spacing w:after="0" w:line="240" w:lineRule="auto"/>
              <w:jc w:val="center"/>
              <w:rPr>
                <w:rFonts w:ascii="Arial" w:hAnsi="Arial" w:cs="Arial"/>
                <w:b/>
                <w:bCs/>
                <w:sz w:val="18"/>
                <w:szCs w:val="18"/>
              </w:rPr>
            </w:pPr>
            <w:r w:rsidRPr="00071923">
              <w:rPr>
                <w:rFonts w:ascii="Arial" w:hAnsi="Arial" w:cs="Arial"/>
                <w:b/>
                <w:bCs/>
                <w:sz w:val="18"/>
                <w:szCs w:val="18"/>
              </w:rPr>
              <w:t>2014</w:t>
            </w:r>
          </w:p>
        </w:tc>
        <w:tc>
          <w:tcPr>
            <w:tcW w:w="634" w:type="pct"/>
            <w:tcBorders>
              <w:bottom w:val="single" w:sz="12" w:space="0" w:color="auto"/>
            </w:tcBorders>
            <w:shd w:val="clear" w:color="000000" w:fill="FFFFFF"/>
            <w:noWrap/>
            <w:vAlign w:val="center"/>
            <w:hideMark/>
          </w:tcPr>
          <w:p w:rsidR="00B903E0" w:rsidRPr="00071923" w:rsidRDefault="00B903E0" w:rsidP="00887151">
            <w:pPr>
              <w:spacing w:after="0" w:line="240" w:lineRule="auto"/>
              <w:jc w:val="center"/>
              <w:rPr>
                <w:rFonts w:ascii="Arial" w:hAnsi="Arial" w:cs="Arial"/>
                <w:b/>
                <w:bCs/>
                <w:sz w:val="18"/>
                <w:szCs w:val="18"/>
              </w:rPr>
            </w:pPr>
            <w:r w:rsidRPr="00071923">
              <w:rPr>
                <w:rFonts w:ascii="Arial" w:hAnsi="Arial" w:cs="Arial"/>
                <w:b/>
                <w:bCs/>
                <w:sz w:val="18"/>
                <w:szCs w:val="18"/>
              </w:rPr>
              <w:t>2015</w:t>
            </w:r>
          </w:p>
        </w:tc>
        <w:tc>
          <w:tcPr>
            <w:tcW w:w="546" w:type="pct"/>
            <w:tcBorders>
              <w:bottom w:val="single" w:sz="12" w:space="0" w:color="auto"/>
              <w:right w:val="single" w:sz="12" w:space="0" w:color="auto"/>
            </w:tcBorders>
            <w:shd w:val="clear" w:color="000000" w:fill="FFFFFF"/>
            <w:noWrap/>
            <w:vAlign w:val="center"/>
            <w:hideMark/>
          </w:tcPr>
          <w:p w:rsidR="00B903E0" w:rsidRPr="00071923" w:rsidRDefault="00B903E0" w:rsidP="00887151">
            <w:pPr>
              <w:spacing w:after="0" w:line="240" w:lineRule="auto"/>
              <w:jc w:val="center"/>
              <w:rPr>
                <w:rFonts w:ascii="Arial" w:hAnsi="Arial" w:cs="Arial"/>
                <w:b/>
                <w:bCs/>
                <w:sz w:val="18"/>
                <w:szCs w:val="18"/>
              </w:rPr>
            </w:pPr>
            <w:r w:rsidRPr="00071923">
              <w:rPr>
                <w:rFonts w:ascii="Arial" w:hAnsi="Arial" w:cs="Arial"/>
                <w:b/>
                <w:bCs/>
                <w:sz w:val="18"/>
                <w:szCs w:val="18"/>
              </w:rPr>
              <w:t>2016</w:t>
            </w:r>
          </w:p>
        </w:tc>
      </w:tr>
      <w:tr w:rsidR="00B903E0" w:rsidRPr="00071923" w:rsidTr="00887151">
        <w:trPr>
          <w:trHeight w:val="299"/>
        </w:trPr>
        <w:tc>
          <w:tcPr>
            <w:tcW w:w="2187" w:type="pct"/>
            <w:tcBorders>
              <w:top w:val="single" w:sz="12" w:space="0" w:color="auto"/>
              <w:left w:val="single" w:sz="12" w:space="0" w:color="auto"/>
              <w:bottom w:val="single" w:sz="6" w:space="0" w:color="auto"/>
            </w:tcBorders>
            <w:shd w:val="clear" w:color="000000" w:fill="FFFFFF"/>
            <w:noWrap/>
            <w:vAlign w:val="center"/>
          </w:tcPr>
          <w:p w:rsidR="00B903E0" w:rsidRPr="00071923" w:rsidRDefault="00B903E0" w:rsidP="00887151">
            <w:pPr>
              <w:spacing w:after="0" w:line="240" w:lineRule="auto"/>
              <w:rPr>
                <w:rFonts w:ascii="Arial" w:hAnsi="Arial" w:cs="Arial"/>
                <w:bCs/>
                <w:sz w:val="18"/>
                <w:szCs w:val="18"/>
              </w:rPr>
            </w:pPr>
          </w:p>
        </w:tc>
        <w:tc>
          <w:tcPr>
            <w:tcW w:w="2813" w:type="pct"/>
            <w:gridSpan w:val="5"/>
            <w:tcBorders>
              <w:top w:val="single" w:sz="12" w:space="0" w:color="auto"/>
              <w:bottom w:val="single" w:sz="6" w:space="0" w:color="auto"/>
              <w:right w:val="single" w:sz="12" w:space="0" w:color="auto"/>
            </w:tcBorders>
            <w:shd w:val="clear" w:color="000000" w:fill="FFFFFF"/>
            <w:noWrap/>
            <w:vAlign w:val="center"/>
          </w:tcPr>
          <w:p w:rsidR="00B903E0" w:rsidRPr="00071923" w:rsidRDefault="00B903E0" w:rsidP="00887151">
            <w:pPr>
              <w:spacing w:after="0" w:line="240" w:lineRule="auto"/>
              <w:ind w:right="18"/>
              <w:jc w:val="center"/>
              <w:rPr>
                <w:rFonts w:ascii="Arial" w:hAnsi="Arial" w:cs="Arial"/>
                <w:bCs/>
                <w:sz w:val="18"/>
                <w:szCs w:val="18"/>
              </w:rPr>
            </w:pPr>
            <w:r w:rsidRPr="00071923">
              <w:rPr>
                <w:rFonts w:ascii="Arial" w:hAnsi="Arial" w:cs="Arial"/>
                <w:sz w:val="18"/>
                <w:szCs w:val="18"/>
              </w:rPr>
              <w:t>(</w:t>
            </w:r>
            <w:proofErr w:type="spellStart"/>
            <w:r w:rsidRPr="00071923">
              <w:rPr>
                <w:rFonts w:ascii="Arial" w:hAnsi="Arial" w:cs="Arial"/>
                <w:sz w:val="18"/>
                <w:szCs w:val="18"/>
              </w:rPr>
              <w:t>GSYH’ya</w:t>
            </w:r>
            <w:proofErr w:type="spellEnd"/>
            <w:r w:rsidRPr="00071923">
              <w:rPr>
                <w:rFonts w:ascii="Arial" w:hAnsi="Arial" w:cs="Arial"/>
                <w:sz w:val="18"/>
                <w:szCs w:val="18"/>
              </w:rPr>
              <w:t xml:space="preserve"> Oran, Yüzde)</w:t>
            </w:r>
          </w:p>
        </w:tc>
      </w:tr>
      <w:tr w:rsidR="00B903E0" w:rsidRPr="00071923" w:rsidTr="00B903E0">
        <w:trPr>
          <w:trHeight w:val="299"/>
        </w:trPr>
        <w:tc>
          <w:tcPr>
            <w:tcW w:w="2187" w:type="pct"/>
            <w:tcBorders>
              <w:top w:val="single" w:sz="6" w:space="0" w:color="auto"/>
              <w:left w:val="single" w:sz="12" w:space="0" w:color="auto"/>
              <w:bottom w:val="nil"/>
            </w:tcBorders>
            <w:shd w:val="clear" w:color="000000" w:fill="FFFFFF"/>
            <w:noWrap/>
            <w:vAlign w:val="center"/>
            <w:hideMark/>
          </w:tcPr>
          <w:p w:rsidR="00B903E0" w:rsidRPr="00071923" w:rsidRDefault="00B903E0" w:rsidP="00887151">
            <w:pPr>
              <w:spacing w:after="0" w:line="240" w:lineRule="auto"/>
              <w:ind w:left="142"/>
              <w:rPr>
                <w:rFonts w:ascii="Arial" w:hAnsi="Arial" w:cs="Arial"/>
                <w:bCs/>
                <w:sz w:val="18"/>
                <w:szCs w:val="18"/>
              </w:rPr>
            </w:pPr>
            <w:r w:rsidRPr="00071923">
              <w:rPr>
                <w:rFonts w:ascii="Arial" w:hAnsi="Arial" w:cs="Arial"/>
                <w:bCs/>
                <w:sz w:val="18"/>
                <w:szCs w:val="18"/>
              </w:rPr>
              <w:t>Kamu Harcanabilir Geliri</w:t>
            </w:r>
          </w:p>
        </w:tc>
        <w:tc>
          <w:tcPr>
            <w:tcW w:w="545" w:type="pct"/>
            <w:tcBorders>
              <w:top w:val="single" w:sz="6" w:space="0" w:color="auto"/>
              <w:bottom w:val="nil"/>
            </w:tcBorders>
            <w:shd w:val="clear" w:color="000000" w:fill="FFFFFF"/>
            <w:noWrap/>
            <w:vAlign w:val="center"/>
            <w:hideMark/>
          </w:tcPr>
          <w:p w:rsidR="00B903E0" w:rsidRPr="00071923" w:rsidRDefault="00B903E0" w:rsidP="00B903E0">
            <w:pPr>
              <w:spacing w:after="0" w:line="240" w:lineRule="auto"/>
              <w:ind w:right="21"/>
              <w:jc w:val="center"/>
              <w:rPr>
                <w:rFonts w:ascii="Arial" w:hAnsi="Arial" w:cs="Arial"/>
                <w:bCs/>
                <w:sz w:val="18"/>
                <w:szCs w:val="18"/>
              </w:rPr>
            </w:pPr>
            <w:r w:rsidRPr="00071923">
              <w:rPr>
                <w:rFonts w:ascii="Arial" w:hAnsi="Arial" w:cs="Arial"/>
                <w:bCs/>
                <w:sz w:val="18"/>
                <w:szCs w:val="18"/>
              </w:rPr>
              <w:t>14,5</w:t>
            </w:r>
          </w:p>
        </w:tc>
        <w:tc>
          <w:tcPr>
            <w:tcW w:w="546" w:type="pct"/>
            <w:tcBorders>
              <w:top w:val="single" w:sz="6" w:space="0" w:color="auto"/>
              <w:bottom w:val="nil"/>
            </w:tcBorders>
            <w:shd w:val="clear" w:color="000000" w:fill="FFFFFF"/>
            <w:noWrap/>
            <w:vAlign w:val="center"/>
            <w:hideMark/>
          </w:tcPr>
          <w:p w:rsidR="00B903E0" w:rsidRPr="00071923" w:rsidRDefault="00B903E0" w:rsidP="00B903E0">
            <w:pPr>
              <w:spacing w:after="0" w:line="240" w:lineRule="auto"/>
              <w:ind w:right="20"/>
              <w:jc w:val="center"/>
              <w:rPr>
                <w:rFonts w:ascii="Arial" w:hAnsi="Arial" w:cs="Arial"/>
                <w:bCs/>
                <w:sz w:val="18"/>
                <w:szCs w:val="18"/>
              </w:rPr>
            </w:pPr>
            <w:r w:rsidRPr="00071923">
              <w:rPr>
                <w:rFonts w:ascii="Arial" w:hAnsi="Arial" w:cs="Arial"/>
                <w:bCs/>
                <w:sz w:val="18"/>
                <w:szCs w:val="18"/>
              </w:rPr>
              <w:t>14,9</w:t>
            </w:r>
          </w:p>
        </w:tc>
        <w:tc>
          <w:tcPr>
            <w:tcW w:w="542" w:type="pct"/>
            <w:tcBorders>
              <w:top w:val="single" w:sz="6" w:space="0" w:color="auto"/>
              <w:bottom w:val="nil"/>
            </w:tcBorders>
            <w:shd w:val="clear" w:color="000000" w:fill="FFFFFF"/>
            <w:noWrap/>
            <w:vAlign w:val="center"/>
            <w:hideMark/>
          </w:tcPr>
          <w:p w:rsidR="00B903E0" w:rsidRPr="00071923" w:rsidRDefault="00B903E0" w:rsidP="00B903E0">
            <w:pPr>
              <w:spacing w:after="0" w:line="240" w:lineRule="auto"/>
              <w:ind w:right="18"/>
              <w:jc w:val="center"/>
              <w:rPr>
                <w:rFonts w:ascii="Arial" w:hAnsi="Arial" w:cs="Arial"/>
                <w:bCs/>
                <w:sz w:val="18"/>
                <w:szCs w:val="18"/>
              </w:rPr>
            </w:pPr>
            <w:r w:rsidRPr="00071923">
              <w:rPr>
                <w:rFonts w:ascii="Arial" w:hAnsi="Arial" w:cs="Arial"/>
                <w:bCs/>
                <w:sz w:val="18"/>
                <w:szCs w:val="18"/>
              </w:rPr>
              <w:t>14,4</w:t>
            </w:r>
          </w:p>
        </w:tc>
        <w:tc>
          <w:tcPr>
            <w:tcW w:w="634" w:type="pct"/>
            <w:tcBorders>
              <w:top w:val="single" w:sz="6" w:space="0" w:color="auto"/>
              <w:bottom w:val="nil"/>
            </w:tcBorders>
            <w:shd w:val="clear" w:color="000000" w:fill="FFFFFF"/>
            <w:noWrap/>
            <w:vAlign w:val="center"/>
            <w:hideMark/>
          </w:tcPr>
          <w:p w:rsidR="00B903E0" w:rsidRPr="00071923" w:rsidRDefault="00B903E0" w:rsidP="00B903E0">
            <w:pPr>
              <w:spacing w:after="0" w:line="240" w:lineRule="auto"/>
              <w:ind w:right="17"/>
              <w:jc w:val="center"/>
              <w:rPr>
                <w:rFonts w:ascii="Arial" w:hAnsi="Arial" w:cs="Arial"/>
                <w:bCs/>
                <w:sz w:val="18"/>
                <w:szCs w:val="18"/>
              </w:rPr>
            </w:pPr>
            <w:r w:rsidRPr="00071923">
              <w:rPr>
                <w:rFonts w:ascii="Arial" w:hAnsi="Arial" w:cs="Arial"/>
                <w:bCs/>
                <w:sz w:val="18"/>
                <w:szCs w:val="18"/>
              </w:rPr>
              <w:t>14,7</w:t>
            </w:r>
          </w:p>
        </w:tc>
        <w:tc>
          <w:tcPr>
            <w:tcW w:w="546" w:type="pct"/>
            <w:tcBorders>
              <w:top w:val="single" w:sz="6" w:space="0" w:color="auto"/>
              <w:bottom w:val="nil"/>
              <w:right w:val="single" w:sz="12" w:space="0" w:color="auto"/>
            </w:tcBorders>
            <w:shd w:val="clear" w:color="000000" w:fill="FFFFFF"/>
            <w:noWrap/>
            <w:vAlign w:val="center"/>
            <w:hideMark/>
          </w:tcPr>
          <w:p w:rsidR="00B903E0" w:rsidRPr="00071923" w:rsidRDefault="00B903E0" w:rsidP="00B903E0">
            <w:pPr>
              <w:spacing w:after="0" w:line="240" w:lineRule="auto"/>
              <w:ind w:right="18"/>
              <w:jc w:val="center"/>
              <w:rPr>
                <w:rFonts w:ascii="Arial" w:hAnsi="Arial" w:cs="Arial"/>
                <w:bCs/>
                <w:sz w:val="18"/>
                <w:szCs w:val="18"/>
              </w:rPr>
            </w:pPr>
            <w:r w:rsidRPr="00071923">
              <w:rPr>
                <w:rFonts w:ascii="Arial" w:hAnsi="Arial" w:cs="Arial"/>
                <w:bCs/>
                <w:sz w:val="18"/>
                <w:szCs w:val="18"/>
              </w:rPr>
              <w:t>15,1</w:t>
            </w:r>
          </w:p>
        </w:tc>
      </w:tr>
      <w:tr w:rsidR="00B903E0" w:rsidRPr="00071923" w:rsidTr="00B903E0">
        <w:trPr>
          <w:trHeight w:val="299"/>
        </w:trPr>
        <w:tc>
          <w:tcPr>
            <w:tcW w:w="2187" w:type="pct"/>
            <w:tcBorders>
              <w:top w:val="nil"/>
              <w:left w:val="single" w:sz="12" w:space="0" w:color="auto"/>
              <w:bottom w:val="nil"/>
            </w:tcBorders>
            <w:shd w:val="clear" w:color="000000" w:fill="FFFFFF"/>
            <w:noWrap/>
            <w:vAlign w:val="center"/>
            <w:hideMark/>
          </w:tcPr>
          <w:p w:rsidR="00B903E0" w:rsidRPr="00071923" w:rsidRDefault="00B903E0" w:rsidP="00887151">
            <w:pPr>
              <w:spacing w:after="0" w:line="240" w:lineRule="auto"/>
              <w:ind w:left="142"/>
              <w:rPr>
                <w:rFonts w:ascii="Arial" w:hAnsi="Arial" w:cs="Arial"/>
                <w:bCs/>
                <w:sz w:val="18"/>
                <w:szCs w:val="18"/>
              </w:rPr>
            </w:pPr>
            <w:r w:rsidRPr="00071923">
              <w:rPr>
                <w:rFonts w:ascii="Arial" w:hAnsi="Arial" w:cs="Arial"/>
                <w:bCs/>
                <w:sz w:val="18"/>
                <w:szCs w:val="18"/>
              </w:rPr>
              <w:t>Kamu Tüketimi</w:t>
            </w:r>
          </w:p>
        </w:tc>
        <w:tc>
          <w:tcPr>
            <w:tcW w:w="545" w:type="pct"/>
            <w:tcBorders>
              <w:top w:val="nil"/>
              <w:bottom w:val="nil"/>
            </w:tcBorders>
            <w:shd w:val="clear" w:color="000000" w:fill="FFFFFF"/>
            <w:noWrap/>
            <w:vAlign w:val="center"/>
            <w:hideMark/>
          </w:tcPr>
          <w:p w:rsidR="00B903E0" w:rsidRPr="00071923" w:rsidRDefault="00B903E0" w:rsidP="00B903E0">
            <w:pPr>
              <w:spacing w:after="0" w:line="240" w:lineRule="auto"/>
              <w:ind w:right="21"/>
              <w:jc w:val="center"/>
              <w:rPr>
                <w:rFonts w:ascii="Arial" w:hAnsi="Arial" w:cs="Arial"/>
                <w:bCs/>
                <w:sz w:val="18"/>
                <w:szCs w:val="18"/>
              </w:rPr>
            </w:pPr>
            <w:r w:rsidRPr="00071923">
              <w:rPr>
                <w:rFonts w:ascii="Arial" w:hAnsi="Arial" w:cs="Arial"/>
                <w:bCs/>
                <w:sz w:val="18"/>
                <w:szCs w:val="18"/>
              </w:rPr>
              <w:t>11,6</w:t>
            </w:r>
          </w:p>
        </w:tc>
        <w:tc>
          <w:tcPr>
            <w:tcW w:w="546" w:type="pct"/>
            <w:tcBorders>
              <w:top w:val="nil"/>
              <w:bottom w:val="nil"/>
            </w:tcBorders>
            <w:shd w:val="clear" w:color="000000" w:fill="FFFFFF"/>
            <w:noWrap/>
            <w:vAlign w:val="center"/>
            <w:hideMark/>
          </w:tcPr>
          <w:p w:rsidR="00B903E0" w:rsidRPr="00071923" w:rsidRDefault="00B903E0" w:rsidP="00B903E0">
            <w:pPr>
              <w:spacing w:after="0" w:line="240" w:lineRule="auto"/>
              <w:ind w:right="20"/>
              <w:jc w:val="center"/>
              <w:rPr>
                <w:rFonts w:ascii="Arial" w:hAnsi="Arial" w:cs="Arial"/>
                <w:bCs/>
                <w:sz w:val="18"/>
                <w:szCs w:val="18"/>
              </w:rPr>
            </w:pPr>
            <w:r w:rsidRPr="00071923">
              <w:rPr>
                <w:rFonts w:ascii="Arial" w:hAnsi="Arial" w:cs="Arial"/>
                <w:bCs/>
                <w:sz w:val="18"/>
                <w:szCs w:val="18"/>
              </w:rPr>
              <w:t>12,0</w:t>
            </w:r>
          </w:p>
        </w:tc>
        <w:tc>
          <w:tcPr>
            <w:tcW w:w="542" w:type="pct"/>
            <w:tcBorders>
              <w:top w:val="nil"/>
              <w:bottom w:val="nil"/>
            </w:tcBorders>
            <w:shd w:val="clear" w:color="000000" w:fill="FFFFFF"/>
            <w:noWrap/>
            <w:vAlign w:val="center"/>
            <w:hideMark/>
          </w:tcPr>
          <w:p w:rsidR="00B903E0" w:rsidRPr="00071923" w:rsidRDefault="00B903E0" w:rsidP="00B903E0">
            <w:pPr>
              <w:spacing w:after="0" w:line="240" w:lineRule="auto"/>
              <w:ind w:right="18"/>
              <w:jc w:val="center"/>
              <w:rPr>
                <w:rFonts w:ascii="Arial" w:hAnsi="Arial" w:cs="Arial"/>
                <w:bCs/>
                <w:sz w:val="18"/>
                <w:szCs w:val="18"/>
              </w:rPr>
            </w:pPr>
            <w:r w:rsidRPr="00071923">
              <w:rPr>
                <w:rFonts w:ascii="Arial" w:hAnsi="Arial" w:cs="Arial"/>
                <w:bCs/>
                <w:sz w:val="18"/>
                <w:szCs w:val="18"/>
              </w:rPr>
              <w:t>12,0</w:t>
            </w:r>
          </w:p>
        </w:tc>
        <w:tc>
          <w:tcPr>
            <w:tcW w:w="634" w:type="pct"/>
            <w:tcBorders>
              <w:top w:val="nil"/>
              <w:bottom w:val="nil"/>
            </w:tcBorders>
            <w:shd w:val="clear" w:color="000000" w:fill="FFFFFF"/>
            <w:noWrap/>
            <w:vAlign w:val="center"/>
            <w:hideMark/>
          </w:tcPr>
          <w:p w:rsidR="00B903E0" w:rsidRPr="00071923" w:rsidRDefault="00B903E0" w:rsidP="00B903E0">
            <w:pPr>
              <w:spacing w:after="0" w:line="240" w:lineRule="auto"/>
              <w:ind w:right="17"/>
              <w:jc w:val="center"/>
              <w:rPr>
                <w:rFonts w:ascii="Arial" w:hAnsi="Arial" w:cs="Arial"/>
                <w:bCs/>
                <w:sz w:val="18"/>
                <w:szCs w:val="18"/>
              </w:rPr>
            </w:pPr>
            <w:r w:rsidRPr="00071923">
              <w:rPr>
                <w:rFonts w:ascii="Arial" w:hAnsi="Arial" w:cs="Arial"/>
                <w:bCs/>
                <w:sz w:val="18"/>
                <w:szCs w:val="18"/>
              </w:rPr>
              <w:t>11,8</w:t>
            </w:r>
          </w:p>
        </w:tc>
        <w:tc>
          <w:tcPr>
            <w:tcW w:w="546" w:type="pct"/>
            <w:tcBorders>
              <w:top w:val="nil"/>
              <w:bottom w:val="nil"/>
              <w:right w:val="single" w:sz="12" w:space="0" w:color="auto"/>
            </w:tcBorders>
            <w:shd w:val="clear" w:color="000000" w:fill="FFFFFF"/>
            <w:noWrap/>
            <w:vAlign w:val="center"/>
            <w:hideMark/>
          </w:tcPr>
          <w:p w:rsidR="00B903E0" w:rsidRPr="00071923" w:rsidRDefault="00B903E0" w:rsidP="00B903E0">
            <w:pPr>
              <w:spacing w:after="0" w:line="240" w:lineRule="auto"/>
              <w:ind w:right="18"/>
              <w:jc w:val="center"/>
              <w:rPr>
                <w:rFonts w:ascii="Arial" w:hAnsi="Arial" w:cs="Arial"/>
                <w:bCs/>
                <w:sz w:val="18"/>
                <w:szCs w:val="18"/>
              </w:rPr>
            </w:pPr>
            <w:r w:rsidRPr="00071923">
              <w:rPr>
                <w:rFonts w:ascii="Arial" w:hAnsi="Arial" w:cs="Arial"/>
                <w:bCs/>
                <w:sz w:val="18"/>
                <w:szCs w:val="18"/>
              </w:rPr>
              <w:t>11,7</w:t>
            </w:r>
          </w:p>
        </w:tc>
      </w:tr>
      <w:tr w:rsidR="00B903E0" w:rsidRPr="00071923" w:rsidTr="00B903E0">
        <w:trPr>
          <w:trHeight w:val="299"/>
        </w:trPr>
        <w:tc>
          <w:tcPr>
            <w:tcW w:w="2187" w:type="pct"/>
            <w:tcBorders>
              <w:top w:val="nil"/>
              <w:left w:val="single" w:sz="12" w:space="0" w:color="auto"/>
              <w:bottom w:val="nil"/>
            </w:tcBorders>
            <w:shd w:val="clear" w:color="000000" w:fill="FFFFFF"/>
            <w:noWrap/>
            <w:vAlign w:val="center"/>
            <w:hideMark/>
          </w:tcPr>
          <w:p w:rsidR="00B903E0" w:rsidRPr="00071923" w:rsidRDefault="00B903E0" w:rsidP="00887151">
            <w:pPr>
              <w:spacing w:after="0" w:line="240" w:lineRule="auto"/>
              <w:ind w:left="142"/>
              <w:rPr>
                <w:rFonts w:ascii="Arial" w:hAnsi="Arial" w:cs="Arial"/>
                <w:bCs/>
                <w:sz w:val="18"/>
                <w:szCs w:val="18"/>
              </w:rPr>
            </w:pPr>
            <w:r w:rsidRPr="00071923">
              <w:rPr>
                <w:rFonts w:ascii="Arial" w:hAnsi="Arial" w:cs="Arial"/>
                <w:bCs/>
                <w:sz w:val="18"/>
                <w:szCs w:val="18"/>
              </w:rPr>
              <w:t>Kamu Tasarrufu</w:t>
            </w:r>
          </w:p>
        </w:tc>
        <w:tc>
          <w:tcPr>
            <w:tcW w:w="545" w:type="pct"/>
            <w:tcBorders>
              <w:top w:val="nil"/>
              <w:bottom w:val="nil"/>
            </w:tcBorders>
            <w:shd w:val="clear" w:color="000000" w:fill="FFFFFF"/>
            <w:noWrap/>
            <w:vAlign w:val="center"/>
            <w:hideMark/>
          </w:tcPr>
          <w:p w:rsidR="00B903E0" w:rsidRPr="00071923" w:rsidRDefault="00B903E0" w:rsidP="00B903E0">
            <w:pPr>
              <w:spacing w:after="0" w:line="240" w:lineRule="auto"/>
              <w:ind w:right="21"/>
              <w:jc w:val="center"/>
              <w:rPr>
                <w:rFonts w:ascii="Arial" w:hAnsi="Arial" w:cs="Arial"/>
                <w:bCs/>
                <w:sz w:val="18"/>
                <w:szCs w:val="18"/>
              </w:rPr>
            </w:pPr>
            <w:r w:rsidRPr="00071923">
              <w:rPr>
                <w:rFonts w:ascii="Arial" w:hAnsi="Arial" w:cs="Arial"/>
                <w:bCs/>
                <w:sz w:val="18"/>
                <w:szCs w:val="18"/>
              </w:rPr>
              <w:t>2,9</w:t>
            </w:r>
          </w:p>
        </w:tc>
        <w:tc>
          <w:tcPr>
            <w:tcW w:w="546" w:type="pct"/>
            <w:tcBorders>
              <w:top w:val="nil"/>
              <w:bottom w:val="nil"/>
            </w:tcBorders>
            <w:shd w:val="clear" w:color="000000" w:fill="FFFFFF"/>
            <w:noWrap/>
            <w:vAlign w:val="center"/>
            <w:hideMark/>
          </w:tcPr>
          <w:p w:rsidR="00B903E0" w:rsidRPr="00071923" w:rsidRDefault="00B903E0" w:rsidP="00B903E0">
            <w:pPr>
              <w:spacing w:after="0" w:line="240" w:lineRule="auto"/>
              <w:ind w:right="20"/>
              <w:jc w:val="center"/>
              <w:rPr>
                <w:rFonts w:ascii="Arial" w:hAnsi="Arial" w:cs="Arial"/>
                <w:bCs/>
                <w:sz w:val="18"/>
                <w:szCs w:val="18"/>
              </w:rPr>
            </w:pPr>
            <w:r w:rsidRPr="00071923">
              <w:rPr>
                <w:rFonts w:ascii="Arial" w:hAnsi="Arial" w:cs="Arial"/>
                <w:bCs/>
                <w:sz w:val="18"/>
                <w:szCs w:val="18"/>
              </w:rPr>
              <w:t>2,9</w:t>
            </w:r>
          </w:p>
        </w:tc>
        <w:tc>
          <w:tcPr>
            <w:tcW w:w="542" w:type="pct"/>
            <w:tcBorders>
              <w:top w:val="nil"/>
              <w:bottom w:val="nil"/>
            </w:tcBorders>
            <w:shd w:val="clear" w:color="000000" w:fill="FFFFFF"/>
            <w:noWrap/>
            <w:vAlign w:val="center"/>
            <w:hideMark/>
          </w:tcPr>
          <w:p w:rsidR="00B903E0" w:rsidRPr="00071923" w:rsidRDefault="00B903E0" w:rsidP="00B903E0">
            <w:pPr>
              <w:spacing w:after="0" w:line="240" w:lineRule="auto"/>
              <w:ind w:right="18"/>
              <w:jc w:val="center"/>
              <w:rPr>
                <w:rFonts w:ascii="Arial" w:hAnsi="Arial" w:cs="Arial"/>
                <w:bCs/>
                <w:sz w:val="18"/>
                <w:szCs w:val="18"/>
              </w:rPr>
            </w:pPr>
            <w:r w:rsidRPr="00071923">
              <w:rPr>
                <w:rFonts w:ascii="Arial" w:hAnsi="Arial" w:cs="Arial"/>
                <w:bCs/>
                <w:sz w:val="18"/>
                <w:szCs w:val="18"/>
              </w:rPr>
              <w:t>2,4</w:t>
            </w:r>
          </w:p>
        </w:tc>
        <w:tc>
          <w:tcPr>
            <w:tcW w:w="634" w:type="pct"/>
            <w:tcBorders>
              <w:top w:val="nil"/>
              <w:bottom w:val="nil"/>
            </w:tcBorders>
            <w:shd w:val="clear" w:color="000000" w:fill="FFFFFF"/>
            <w:noWrap/>
            <w:vAlign w:val="center"/>
            <w:hideMark/>
          </w:tcPr>
          <w:p w:rsidR="00B903E0" w:rsidRPr="00071923" w:rsidRDefault="00B903E0" w:rsidP="00B903E0">
            <w:pPr>
              <w:spacing w:after="0" w:line="240" w:lineRule="auto"/>
              <w:ind w:right="17"/>
              <w:jc w:val="center"/>
              <w:rPr>
                <w:rFonts w:ascii="Arial" w:hAnsi="Arial" w:cs="Arial"/>
                <w:bCs/>
                <w:sz w:val="18"/>
                <w:szCs w:val="18"/>
              </w:rPr>
            </w:pPr>
            <w:r w:rsidRPr="00071923">
              <w:rPr>
                <w:rFonts w:ascii="Arial" w:hAnsi="Arial" w:cs="Arial"/>
                <w:bCs/>
                <w:sz w:val="18"/>
                <w:szCs w:val="18"/>
              </w:rPr>
              <w:t>3,0</w:t>
            </w:r>
          </w:p>
        </w:tc>
        <w:tc>
          <w:tcPr>
            <w:tcW w:w="546" w:type="pct"/>
            <w:tcBorders>
              <w:top w:val="nil"/>
              <w:bottom w:val="nil"/>
              <w:right w:val="single" w:sz="12" w:space="0" w:color="auto"/>
            </w:tcBorders>
            <w:shd w:val="clear" w:color="000000" w:fill="FFFFFF"/>
            <w:noWrap/>
            <w:vAlign w:val="center"/>
            <w:hideMark/>
          </w:tcPr>
          <w:p w:rsidR="00B903E0" w:rsidRPr="00071923" w:rsidRDefault="00B903E0" w:rsidP="00B903E0">
            <w:pPr>
              <w:spacing w:after="0" w:line="240" w:lineRule="auto"/>
              <w:ind w:right="18"/>
              <w:jc w:val="center"/>
              <w:rPr>
                <w:rFonts w:ascii="Arial" w:hAnsi="Arial" w:cs="Arial"/>
                <w:bCs/>
                <w:sz w:val="18"/>
                <w:szCs w:val="18"/>
              </w:rPr>
            </w:pPr>
            <w:r w:rsidRPr="00071923">
              <w:rPr>
                <w:rFonts w:ascii="Arial" w:hAnsi="Arial" w:cs="Arial"/>
                <w:bCs/>
                <w:sz w:val="18"/>
                <w:szCs w:val="18"/>
              </w:rPr>
              <w:t>3,4</w:t>
            </w:r>
          </w:p>
        </w:tc>
      </w:tr>
      <w:tr w:rsidR="00B903E0" w:rsidRPr="00071923" w:rsidTr="00B903E0">
        <w:trPr>
          <w:trHeight w:val="299"/>
        </w:trPr>
        <w:tc>
          <w:tcPr>
            <w:tcW w:w="2187" w:type="pct"/>
            <w:tcBorders>
              <w:top w:val="nil"/>
              <w:left w:val="single" w:sz="12" w:space="0" w:color="auto"/>
              <w:bottom w:val="nil"/>
            </w:tcBorders>
            <w:shd w:val="clear" w:color="000000" w:fill="FFFFFF"/>
            <w:noWrap/>
            <w:vAlign w:val="center"/>
            <w:hideMark/>
          </w:tcPr>
          <w:p w:rsidR="00B903E0" w:rsidRPr="00071923" w:rsidRDefault="00B903E0" w:rsidP="00887151">
            <w:pPr>
              <w:spacing w:after="0" w:line="240" w:lineRule="auto"/>
              <w:ind w:left="142"/>
              <w:rPr>
                <w:rFonts w:ascii="Arial" w:hAnsi="Arial" w:cs="Arial"/>
                <w:bCs/>
                <w:sz w:val="18"/>
                <w:szCs w:val="18"/>
              </w:rPr>
            </w:pPr>
            <w:r w:rsidRPr="00071923">
              <w:rPr>
                <w:rFonts w:ascii="Arial" w:hAnsi="Arial" w:cs="Arial"/>
                <w:bCs/>
                <w:sz w:val="18"/>
                <w:szCs w:val="18"/>
              </w:rPr>
              <w:t>Kamu Yatırımı</w:t>
            </w:r>
          </w:p>
        </w:tc>
        <w:tc>
          <w:tcPr>
            <w:tcW w:w="545" w:type="pct"/>
            <w:tcBorders>
              <w:top w:val="nil"/>
              <w:bottom w:val="nil"/>
            </w:tcBorders>
            <w:shd w:val="clear" w:color="000000" w:fill="FFFFFF"/>
            <w:noWrap/>
            <w:vAlign w:val="center"/>
            <w:hideMark/>
          </w:tcPr>
          <w:p w:rsidR="00B903E0" w:rsidRPr="00071923" w:rsidRDefault="00B903E0" w:rsidP="00B903E0">
            <w:pPr>
              <w:spacing w:after="0" w:line="240" w:lineRule="auto"/>
              <w:ind w:right="21"/>
              <w:jc w:val="center"/>
              <w:rPr>
                <w:rFonts w:ascii="Arial" w:hAnsi="Arial" w:cs="Arial"/>
                <w:bCs/>
                <w:sz w:val="18"/>
                <w:szCs w:val="18"/>
              </w:rPr>
            </w:pPr>
            <w:r w:rsidRPr="00071923">
              <w:rPr>
                <w:rFonts w:ascii="Arial" w:hAnsi="Arial" w:cs="Arial"/>
                <w:bCs/>
                <w:sz w:val="18"/>
                <w:szCs w:val="18"/>
              </w:rPr>
              <w:t>4,4</w:t>
            </w:r>
          </w:p>
        </w:tc>
        <w:tc>
          <w:tcPr>
            <w:tcW w:w="546" w:type="pct"/>
            <w:tcBorders>
              <w:top w:val="nil"/>
              <w:bottom w:val="nil"/>
            </w:tcBorders>
            <w:shd w:val="clear" w:color="000000" w:fill="FFFFFF"/>
            <w:noWrap/>
            <w:vAlign w:val="center"/>
            <w:hideMark/>
          </w:tcPr>
          <w:p w:rsidR="00B903E0" w:rsidRPr="00071923" w:rsidRDefault="00B903E0" w:rsidP="00B903E0">
            <w:pPr>
              <w:spacing w:after="0" w:line="240" w:lineRule="auto"/>
              <w:ind w:right="20"/>
              <w:jc w:val="center"/>
              <w:rPr>
                <w:rFonts w:ascii="Arial" w:hAnsi="Arial" w:cs="Arial"/>
                <w:bCs/>
                <w:sz w:val="18"/>
                <w:szCs w:val="18"/>
              </w:rPr>
            </w:pPr>
            <w:r w:rsidRPr="00071923">
              <w:rPr>
                <w:rFonts w:ascii="Arial" w:hAnsi="Arial" w:cs="Arial"/>
                <w:bCs/>
                <w:sz w:val="18"/>
                <w:szCs w:val="18"/>
              </w:rPr>
              <w:t>4,8</w:t>
            </w:r>
          </w:p>
        </w:tc>
        <w:tc>
          <w:tcPr>
            <w:tcW w:w="542" w:type="pct"/>
            <w:tcBorders>
              <w:top w:val="nil"/>
              <w:bottom w:val="nil"/>
            </w:tcBorders>
            <w:shd w:val="clear" w:color="000000" w:fill="FFFFFF"/>
            <w:noWrap/>
            <w:vAlign w:val="center"/>
            <w:hideMark/>
          </w:tcPr>
          <w:p w:rsidR="00B903E0" w:rsidRPr="00071923" w:rsidRDefault="00B903E0" w:rsidP="00B903E0">
            <w:pPr>
              <w:spacing w:after="0" w:line="240" w:lineRule="auto"/>
              <w:ind w:right="18"/>
              <w:jc w:val="center"/>
              <w:rPr>
                <w:rFonts w:ascii="Arial" w:hAnsi="Arial" w:cs="Arial"/>
                <w:bCs/>
                <w:sz w:val="18"/>
                <w:szCs w:val="18"/>
              </w:rPr>
            </w:pPr>
            <w:r w:rsidRPr="00071923">
              <w:rPr>
                <w:rFonts w:ascii="Arial" w:hAnsi="Arial" w:cs="Arial"/>
                <w:bCs/>
                <w:sz w:val="18"/>
                <w:szCs w:val="18"/>
              </w:rPr>
              <w:t>4,5</w:t>
            </w:r>
          </w:p>
        </w:tc>
        <w:tc>
          <w:tcPr>
            <w:tcW w:w="634" w:type="pct"/>
            <w:tcBorders>
              <w:top w:val="nil"/>
              <w:bottom w:val="nil"/>
            </w:tcBorders>
            <w:shd w:val="clear" w:color="000000" w:fill="FFFFFF"/>
            <w:noWrap/>
            <w:vAlign w:val="center"/>
            <w:hideMark/>
          </w:tcPr>
          <w:p w:rsidR="00B903E0" w:rsidRPr="00071923" w:rsidRDefault="00B903E0" w:rsidP="00B903E0">
            <w:pPr>
              <w:spacing w:after="0" w:line="240" w:lineRule="auto"/>
              <w:ind w:right="17"/>
              <w:jc w:val="center"/>
              <w:rPr>
                <w:rFonts w:ascii="Arial" w:hAnsi="Arial" w:cs="Arial"/>
                <w:bCs/>
                <w:sz w:val="18"/>
                <w:szCs w:val="18"/>
              </w:rPr>
            </w:pPr>
            <w:r w:rsidRPr="00071923">
              <w:rPr>
                <w:rFonts w:ascii="Arial" w:hAnsi="Arial" w:cs="Arial"/>
                <w:bCs/>
                <w:sz w:val="18"/>
                <w:szCs w:val="18"/>
              </w:rPr>
              <w:t>4,7</w:t>
            </w:r>
          </w:p>
        </w:tc>
        <w:tc>
          <w:tcPr>
            <w:tcW w:w="546" w:type="pct"/>
            <w:tcBorders>
              <w:top w:val="nil"/>
              <w:bottom w:val="nil"/>
              <w:right w:val="single" w:sz="12" w:space="0" w:color="auto"/>
            </w:tcBorders>
            <w:shd w:val="clear" w:color="000000" w:fill="FFFFFF"/>
            <w:noWrap/>
            <w:vAlign w:val="center"/>
            <w:hideMark/>
          </w:tcPr>
          <w:p w:rsidR="00B903E0" w:rsidRPr="00071923" w:rsidRDefault="00B903E0" w:rsidP="00B903E0">
            <w:pPr>
              <w:spacing w:after="0" w:line="240" w:lineRule="auto"/>
              <w:ind w:right="18"/>
              <w:jc w:val="center"/>
              <w:rPr>
                <w:rFonts w:ascii="Arial" w:hAnsi="Arial" w:cs="Arial"/>
                <w:bCs/>
                <w:sz w:val="18"/>
                <w:szCs w:val="18"/>
              </w:rPr>
            </w:pPr>
            <w:r w:rsidRPr="00071923">
              <w:rPr>
                <w:rFonts w:ascii="Arial" w:hAnsi="Arial" w:cs="Arial"/>
                <w:bCs/>
                <w:sz w:val="18"/>
                <w:szCs w:val="18"/>
              </w:rPr>
              <w:t>4,6</w:t>
            </w:r>
          </w:p>
        </w:tc>
      </w:tr>
      <w:tr w:rsidR="00B903E0" w:rsidRPr="00071923" w:rsidTr="00B903E0">
        <w:trPr>
          <w:trHeight w:val="299"/>
        </w:trPr>
        <w:tc>
          <w:tcPr>
            <w:tcW w:w="2187" w:type="pct"/>
            <w:tcBorders>
              <w:top w:val="nil"/>
              <w:left w:val="single" w:sz="12" w:space="0" w:color="auto"/>
              <w:bottom w:val="nil"/>
            </w:tcBorders>
            <w:shd w:val="clear" w:color="000000" w:fill="FFFFFF"/>
            <w:noWrap/>
            <w:vAlign w:val="center"/>
            <w:hideMark/>
          </w:tcPr>
          <w:p w:rsidR="00B903E0" w:rsidRPr="00071923" w:rsidRDefault="00B903E0" w:rsidP="00887151">
            <w:pPr>
              <w:spacing w:after="0" w:line="240" w:lineRule="auto"/>
              <w:ind w:left="142"/>
              <w:rPr>
                <w:rFonts w:ascii="Arial" w:hAnsi="Arial" w:cs="Arial"/>
                <w:bCs/>
                <w:sz w:val="18"/>
                <w:szCs w:val="18"/>
              </w:rPr>
            </w:pPr>
            <w:r w:rsidRPr="00071923">
              <w:rPr>
                <w:rFonts w:ascii="Arial" w:hAnsi="Arial" w:cs="Arial"/>
                <w:bCs/>
                <w:sz w:val="18"/>
                <w:szCs w:val="18"/>
              </w:rPr>
              <w:t>Kamu Tasarruf Yatırım Farkı</w:t>
            </w:r>
          </w:p>
        </w:tc>
        <w:tc>
          <w:tcPr>
            <w:tcW w:w="545" w:type="pct"/>
            <w:tcBorders>
              <w:top w:val="nil"/>
              <w:bottom w:val="nil"/>
            </w:tcBorders>
            <w:shd w:val="clear" w:color="000000" w:fill="FFFFFF"/>
            <w:noWrap/>
            <w:vAlign w:val="center"/>
            <w:hideMark/>
          </w:tcPr>
          <w:p w:rsidR="00B903E0" w:rsidRPr="00071923" w:rsidRDefault="00B903E0" w:rsidP="00B903E0">
            <w:pPr>
              <w:spacing w:after="0" w:line="240" w:lineRule="auto"/>
              <w:ind w:right="21"/>
              <w:jc w:val="center"/>
              <w:rPr>
                <w:rFonts w:ascii="Arial" w:hAnsi="Arial" w:cs="Arial"/>
                <w:bCs/>
                <w:sz w:val="18"/>
                <w:szCs w:val="18"/>
              </w:rPr>
            </w:pPr>
            <w:r w:rsidRPr="00071923">
              <w:rPr>
                <w:rFonts w:ascii="Arial" w:hAnsi="Arial" w:cs="Arial"/>
                <w:bCs/>
                <w:sz w:val="18"/>
                <w:szCs w:val="18"/>
              </w:rPr>
              <w:t>-1,5</w:t>
            </w:r>
          </w:p>
        </w:tc>
        <w:tc>
          <w:tcPr>
            <w:tcW w:w="546" w:type="pct"/>
            <w:tcBorders>
              <w:top w:val="nil"/>
              <w:bottom w:val="nil"/>
            </w:tcBorders>
            <w:shd w:val="clear" w:color="000000" w:fill="FFFFFF"/>
            <w:noWrap/>
            <w:vAlign w:val="center"/>
            <w:hideMark/>
          </w:tcPr>
          <w:p w:rsidR="00B903E0" w:rsidRPr="00071923" w:rsidRDefault="00B903E0" w:rsidP="00B903E0">
            <w:pPr>
              <w:spacing w:after="0" w:line="240" w:lineRule="auto"/>
              <w:ind w:right="20"/>
              <w:jc w:val="center"/>
              <w:rPr>
                <w:rFonts w:ascii="Arial" w:hAnsi="Arial" w:cs="Arial"/>
                <w:bCs/>
                <w:sz w:val="18"/>
                <w:szCs w:val="18"/>
              </w:rPr>
            </w:pPr>
            <w:r w:rsidRPr="00071923">
              <w:rPr>
                <w:rFonts w:ascii="Arial" w:hAnsi="Arial" w:cs="Arial"/>
                <w:bCs/>
                <w:sz w:val="18"/>
                <w:szCs w:val="18"/>
              </w:rPr>
              <w:t>-1,9</w:t>
            </w:r>
          </w:p>
        </w:tc>
        <w:tc>
          <w:tcPr>
            <w:tcW w:w="542" w:type="pct"/>
            <w:tcBorders>
              <w:top w:val="nil"/>
              <w:bottom w:val="nil"/>
            </w:tcBorders>
            <w:shd w:val="clear" w:color="000000" w:fill="FFFFFF"/>
            <w:noWrap/>
            <w:vAlign w:val="center"/>
            <w:hideMark/>
          </w:tcPr>
          <w:p w:rsidR="00B903E0" w:rsidRPr="00071923" w:rsidRDefault="00B903E0" w:rsidP="00B903E0">
            <w:pPr>
              <w:spacing w:after="0" w:line="240" w:lineRule="auto"/>
              <w:ind w:right="18"/>
              <w:jc w:val="center"/>
              <w:rPr>
                <w:rFonts w:ascii="Arial" w:hAnsi="Arial" w:cs="Arial"/>
                <w:bCs/>
                <w:sz w:val="18"/>
                <w:szCs w:val="18"/>
              </w:rPr>
            </w:pPr>
            <w:r w:rsidRPr="00071923">
              <w:rPr>
                <w:rFonts w:ascii="Arial" w:hAnsi="Arial" w:cs="Arial"/>
                <w:bCs/>
                <w:sz w:val="18"/>
                <w:szCs w:val="18"/>
              </w:rPr>
              <w:t>-2,0</w:t>
            </w:r>
          </w:p>
        </w:tc>
        <w:tc>
          <w:tcPr>
            <w:tcW w:w="634" w:type="pct"/>
            <w:tcBorders>
              <w:top w:val="nil"/>
              <w:bottom w:val="nil"/>
            </w:tcBorders>
            <w:shd w:val="clear" w:color="000000" w:fill="FFFFFF"/>
            <w:noWrap/>
            <w:vAlign w:val="center"/>
            <w:hideMark/>
          </w:tcPr>
          <w:p w:rsidR="00B903E0" w:rsidRPr="00071923" w:rsidRDefault="00B903E0" w:rsidP="00B903E0">
            <w:pPr>
              <w:spacing w:after="0" w:line="240" w:lineRule="auto"/>
              <w:ind w:right="17"/>
              <w:jc w:val="center"/>
              <w:rPr>
                <w:rFonts w:ascii="Arial" w:hAnsi="Arial" w:cs="Arial"/>
                <w:bCs/>
                <w:sz w:val="18"/>
                <w:szCs w:val="18"/>
              </w:rPr>
            </w:pPr>
            <w:r w:rsidRPr="00071923">
              <w:rPr>
                <w:rFonts w:ascii="Arial" w:hAnsi="Arial" w:cs="Arial"/>
                <w:bCs/>
                <w:sz w:val="18"/>
                <w:szCs w:val="18"/>
              </w:rPr>
              <w:t>-1,7</w:t>
            </w:r>
          </w:p>
        </w:tc>
        <w:tc>
          <w:tcPr>
            <w:tcW w:w="546" w:type="pct"/>
            <w:tcBorders>
              <w:top w:val="nil"/>
              <w:bottom w:val="nil"/>
              <w:right w:val="single" w:sz="12" w:space="0" w:color="auto"/>
            </w:tcBorders>
            <w:shd w:val="clear" w:color="000000" w:fill="FFFFFF"/>
            <w:noWrap/>
            <w:vAlign w:val="center"/>
            <w:hideMark/>
          </w:tcPr>
          <w:p w:rsidR="00B903E0" w:rsidRPr="00071923" w:rsidRDefault="00B903E0" w:rsidP="00B903E0">
            <w:pPr>
              <w:spacing w:after="0" w:line="240" w:lineRule="auto"/>
              <w:ind w:right="18"/>
              <w:jc w:val="center"/>
              <w:rPr>
                <w:rFonts w:ascii="Arial" w:hAnsi="Arial" w:cs="Arial"/>
                <w:bCs/>
                <w:sz w:val="18"/>
                <w:szCs w:val="18"/>
              </w:rPr>
            </w:pPr>
            <w:r w:rsidRPr="00071923">
              <w:rPr>
                <w:rFonts w:ascii="Arial" w:hAnsi="Arial" w:cs="Arial"/>
                <w:bCs/>
                <w:sz w:val="18"/>
                <w:szCs w:val="18"/>
              </w:rPr>
              <w:t>-1,3</w:t>
            </w:r>
          </w:p>
        </w:tc>
      </w:tr>
      <w:tr w:rsidR="00B903E0" w:rsidRPr="00071923" w:rsidTr="00B903E0">
        <w:trPr>
          <w:trHeight w:val="299"/>
        </w:trPr>
        <w:tc>
          <w:tcPr>
            <w:tcW w:w="2187" w:type="pct"/>
            <w:tcBorders>
              <w:top w:val="nil"/>
              <w:left w:val="single" w:sz="12" w:space="0" w:color="auto"/>
              <w:bottom w:val="single" w:sz="6" w:space="0" w:color="auto"/>
            </w:tcBorders>
            <w:shd w:val="clear" w:color="000000" w:fill="FFFFFF"/>
            <w:noWrap/>
            <w:vAlign w:val="center"/>
          </w:tcPr>
          <w:p w:rsidR="00B903E0" w:rsidRPr="00071923" w:rsidRDefault="00B903E0" w:rsidP="00887151">
            <w:pPr>
              <w:spacing w:after="0" w:line="240" w:lineRule="auto"/>
              <w:ind w:left="142"/>
              <w:rPr>
                <w:rFonts w:ascii="Arial" w:hAnsi="Arial" w:cs="Arial"/>
                <w:bCs/>
                <w:sz w:val="18"/>
                <w:szCs w:val="18"/>
              </w:rPr>
            </w:pPr>
            <w:r w:rsidRPr="00071923">
              <w:rPr>
                <w:rFonts w:ascii="Arial" w:eastAsia="Times New Roman" w:hAnsi="Arial" w:cs="Arial"/>
                <w:sz w:val="18"/>
                <w:szCs w:val="18"/>
                <w:lang w:eastAsia="tr-TR"/>
              </w:rPr>
              <w:t>Kamu Kesimi Özelleştirme Geliri</w:t>
            </w:r>
          </w:p>
        </w:tc>
        <w:tc>
          <w:tcPr>
            <w:tcW w:w="545" w:type="pct"/>
            <w:tcBorders>
              <w:top w:val="nil"/>
              <w:bottom w:val="single" w:sz="6" w:space="0" w:color="auto"/>
            </w:tcBorders>
            <w:shd w:val="clear" w:color="000000" w:fill="FFFFFF"/>
            <w:noWrap/>
            <w:vAlign w:val="center"/>
          </w:tcPr>
          <w:p w:rsidR="00B903E0" w:rsidRPr="00071923" w:rsidRDefault="00B903E0" w:rsidP="00B903E0">
            <w:pPr>
              <w:spacing w:after="0" w:line="240" w:lineRule="auto"/>
              <w:ind w:right="21"/>
              <w:jc w:val="center"/>
              <w:rPr>
                <w:rFonts w:ascii="Arial" w:eastAsia="Times New Roman" w:hAnsi="Arial" w:cs="Arial"/>
                <w:sz w:val="18"/>
                <w:szCs w:val="18"/>
                <w:lang w:eastAsia="tr-TR"/>
              </w:rPr>
            </w:pPr>
            <w:r w:rsidRPr="00071923">
              <w:rPr>
                <w:rFonts w:ascii="Arial" w:eastAsia="Times New Roman" w:hAnsi="Arial" w:cs="Arial"/>
                <w:sz w:val="18"/>
                <w:szCs w:val="18"/>
                <w:lang w:eastAsia="tr-TR"/>
              </w:rPr>
              <w:t>0,5</w:t>
            </w:r>
          </w:p>
        </w:tc>
        <w:tc>
          <w:tcPr>
            <w:tcW w:w="546" w:type="pct"/>
            <w:tcBorders>
              <w:top w:val="nil"/>
              <w:bottom w:val="single" w:sz="6" w:space="0" w:color="auto"/>
            </w:tcBorders>
            <w:shd w:val="clear" w:color="000000" w:fill="FFFFFF"/>
            <w:noWrap/>
            <w:vAlign w:val="center"/>
          </w:tcPr>
          <w:p w:rsidR="00B903E0" w:rsidRPr="00071923" w:rsidRDefault="00B903E0" w:rsidP="00B903E0">
            <w:pPr>
              <w:spacing w:after="0" w:line="240" w:lineRule="auto"/>
              <w:ind w:right="20"/>
              <w:jc w:val="center"/>
              <w:rPr>
                <w:rFonts w:ascii="Arial" w:eastAsia="Times New Roman" w:hAnsi="Arial" w:cs="Arial"/>
                <w:sz w:val="18"/>
                <w:szCs w:val="18"/>
                <w:lang w:eastAsia="tr-TR"/>
              </w:rPr>
            </w:pPr>
            <w:r w:rsidRPr="00071923">
              <w:rPr>
                <w:rFonts w:ascii="Arial" w:eastAsia="Times New Roman" w:hAnsi="Arial" w:cs="Arial"/>
                <w:sz w:val="18"/>
                <w:szCs w:val="18"/>
                <w:lang w:eastAsia="tr-TR"/>
              </w:rPr>
              <w:t>0,6</w:t>
            </w:r>
          </w:p>
        </w:tc>
        <w:tc>
          <w:tcPr>
            <w:tcW w:w="542" w:type="pct"/>
            <w:tcBorders>
              <w:top w:val="nil"/>
              <w:bottom w:val="single" w:sz="6" w:space="0" w:color="auto"/>
            </w:tcBorders>
            <w:shd w:val="clear" w:color="000000" w:fill="FFFFFF"/>
            <w:noWrap/>
            <w:vAlign w:val="center"/>
          </w:tcPr>
          <w:p w:rsidR="00B903E0" w:rsidRPr="00071923" w:rsidRDefault="00B903E0" w:rsidP="00B903E0">
            <w:pPr>
              <w:spacing w:after="0" w:line="240" w:lineRule="auto"/>
              <w:ind w:right="18"/>
              <w:jc w:val="center"/>
              <w:rPr>
                <w:rFonts w:ascii="Arial" w:eastAsia="Times New Roman" w:hAnsi="Arial" w:cs="Arial"/>
                <w:sz w:val="18"/>
                <w:szCs w:val="18"/>
                <w:lang w:eastAsia="tr-TR"/>
              </w:rPr>
            </w:pPr>
            <w:r w:rsidRPr="00071923">
              <w:rPr>
                <w:rFonts w:ascii="Arial" w:eastAsia="Times New Roman" w:hAnsi="Arial" w:cs="Arial"/>
                <w:sz w:val="18"/>
                <w:szCs w:val="18"/>
                <w:lang w:eastAsia="tr-TR"/>
              </w:rPr>
              <w:t>0,6</w:t>
            </w:r>
          </w:p>
        </w:tc>
        <w:tc>
          <w:tcPr>
            <w:tcW w:w="634" w:type="pct"/>
            <w:tcBorders>
              <w:top w:val="nil"/>
              <w:bottom w:val="single" w:sz="6" w:space="0" w:color="auto"/>
            </w:tcBorders>
            <w:shd w:val="clear" w:color="000000" w:fill="FFFFFF"/>
            <w:noWrap/>
            <w:vAlign w:val="center"/>
          </w:tcPr>
          <w:p w:rsidR="00B903E0" w:rsidRPr="00071923" w:rsidRDefault="00B903E0" w:rsidP="00B903E0">
            <w:pPr>
              <w:spacing w:after="0" w:line="240" w:lineRule="auto"/>
              <w:ind w:right="17"/>
              <w:jc w:val="center"/>
              <w:rPr>
                <w:rFonts w:ascii="Arial" w:eastAsia="Times New Roman" w:hAnsi="Arial" w:cs="Arial"/>
                <w:sz w:val="18"/>
                <w:szCs w:val="18"/>
                <w:lang w:eastAsia="tr-TR"/>
              </w:rPr>
            </w:pPr>
            <w:r w:rsidRPr="00071923">
              <w:rPr>
                <w:rFonts w:ascii="Arial" w:eastAsia="Times New Roman" w:hAnsi="Arial" w:cs="Arial"/>
                <w:sz w:val="18"/>
                <w:szCs w:val="18"/>
                <w:lang w:eastAsia="tr-TR"/>
              </w:rPr>
              <w:t>0,4</w:t>
            </w:r>
          </w:p>
        </w:tc>
        <w:tc>
          <w:tcPr>
            <w:tcW w:w="546" w:type="pct"/>
            <w:tcBorders>
              <w:top w:val="nil"/>
              <w:bottom w:val="single" w:sz="6" w:space="0" w:color="auto"/>
              <w:right w:val="single" w:sz="12" w:space="0" w:color="auto"/>
            </w:tcBorders>
            <w:shd w:val="clear" w:color="000000" w:fill="FFFFFF"/>
            <w:noWrap/>
            <w:vAlign w:val="center"/>
          </w:tcPr>
          <w:p w:rsidR="00B903E0" w:rsidRPr="00071923" w:rsidRDefault="00B903E0" w:rsidP="00B903E0">
            <w:pPr>
              <w:spacing w:after="0" w:line="240" w:lineRule="auto"/>
              <w:ind w:right="18"/>
              <w:jc w:val="center"/>
              <w:rPr>
                <w:rFonts w:ascii="Arial" w:eastAsia="Times New Roman" w:hAnsi="Arial" w:cs="Arial"/>
                <w:sz w:val="18"/>
                <w:szCs w:val="18"/>
                <w:lang w:eastAsia="tr-TR"/>
              </w:rPr>
            </w:pPr>
            <w:r w:rsidRPr="00071923">
              <w:rPr>
                <w:rFonts w:ascii="Arial" w:eastAsia="Times New Roman" w:hAnsi="Arial" w:cs="Arial"/>
                <w:sz w:val="18"/>
                <w:szCs w:val="18"/>
                <w:lang w:eastAsia="tr-TR"/>
              </w:rPr>
              <w:t>0,2</w:t>
            </w:r>
          </w:p>
        </w:tc>
      </w:tr>
      <w:tr w:rsidR="00B903E0" w:rsidRPr="00071923" w:rsidTr="00B903E0">
        <w:trPr>
          <w:trHeight w:val="299"/>
        </w:trPr>
        <w:tc>
          <w:tcPr>
            <w:tcW w:w="2187" w:type="pct"/>
            <w:tcBorders>
              <w:top w:val="nil"/>
              <w:left w:val="single" w:sz="12" w:space="0" w:color="auto"/>
              <w:bottom w:val="nil"/>
            </w:tcBorders>
            <w:shd w:val="clear" w:color="000000" w:fill="FFFFFF"/>
            <w:noWrap/>
            <w:vAlign w:val="center"/>
          </w:tcPr>
          <w:p w:rsidR="00B903E0" w:rsidRPr="00071923" w:rsidRDefault="00B903E0" w:rsidP="00887151">
            <w:pPr>
              <w:spacing w:after="0" w:line="240" w:lineRule="auto"/>
              <w:ind w:left="142"/>
              <w:rPr>
                <w:rFonts w:ascii="Arial" w:hAnsi="Arial" w:cs="Arial"/>
                <w:bCs/>
                <w:sz w:val="18"/>
                <w:szCs w:val="18"/>
              </w:rPr>
            </w:pPr>
            <w:r w:rsidRPr="00071923">
              <w:rPr>
                <w:rFonts w:ascii="Arial" w:hAnsi="Arial" w:cs="Arial"/>
                <w:bCs/>
                <w:sz w:val="18"/>
                <w:szCs w:val="18"/>
              </w:rPr>
              <w:t>Vergi Yükü (Sosyal Güvenlik Primleri Dâhil) (1)</w:t>
            </w:r>
          </w:p>
        </w:tc>
        <w:tc>
          <w:tcPr>
            <w:tcW w:w="545" w:type="pct"/>
            <w:tcBorders>
              <w:top w:val="nil"/>
              <w:bottom w:val="nil"/>
            </w:tcBorders>
            <w:shd w:val="clear" w:color="000000" w:fill="FFFFFF"/>
            <w:noWrap/>
            <w:vAlign w:val="center"/>
          </w:tcPr>
          <w:p w:rsidR="00B903E0" w:rsidRPr="00071923" w:rsidRDefault="00B903E0" w:rsidP="00B903E0">
            <w:pPr>
              <w:spacing w:after="0" w:line="240" w:lineRule="auto"/>
              <w:ind w:right="21"/>
              <w:jc w:val="center"/>
              <w:rPr>
                <w:rFonts w:ascii="Arial" w:hAnsi="Arial" w:cs="Arial"/>
                <w:bCs/>
                <w:sz w:val="18"/>
                <w:szCs w:val="18"/>
              </w:rPr>
            </w:pPr>
            <w:r w:rsidRPr="00071923">
              <w:rPr>
                <w:rFonts w:ascii="Arial" w:hAnsi="Arial" w:cs="Arial"/>
                <w:bCs/>
                <w:sz w:val="18"/>
                <w:szCs w:val="18"/>
              </w:rPr>
              <w:t>27,4</w:t>
            </w:r>
          </w:p>
        </w:tc>
        <w:tc>
          <w:tcPr>
            <w:tcW w:w="546" w:type="pct"/>
            <w:tcBorders>
              <w:top w:val="nil"/>
              <w:bottom w:val="nil"/>
            </w:tcBorders>
            <w:shd w:val="clear" w:color="000000" w:fill="FFFFFF"/>
            <w:noWrap/>
            <w:vAlign w:val="center"/>
          </w:tcPr>
          <w:p w:rsidR="00B903E0" w:rsidRPr="00071923" w:rsidRDefault="00B903E0" w:rsidP="00B903E0">
            <w:pPr>
              <w:spacing w:after="0" w:line="240" w:lineRule="auto"/>
              <w:ind w:right="20"/>
              <w:jc w:val="center"/>
              <w:rPr>
                <w:rFonts w:ascii="Arial" w:hAnsi="Arial" w:cs="Arial"/>
                <w:bCs/>
                <w:sz w:val="18"/>
                <w:szCs w:val="18"/>
              </w:rPr>
            </w:pPr>
            <w:r w:rsidRPr="00071923">
              <w:rPr>
                <w:rFonts w:ascii="Arial" w:hAnsi="Arial" w:cs="Arial"/>
                <w:bCs/>
                <w:sz w:val="18"/>
                <w:szCs w:val="18"/>
              </w:rPr>
              <w:t>29,0</w:t>
            </w:r>
          </w:p>
        </w:tc>
        <w:tc>
          <w:tcPr>
            <w:tcW w:w="542" w:type="pct"/>
            <w:tcBorders>
              <w:top w:val="nil"/>
              <w:bottom w:val="nil"/>
            </w:tcBorders>
            <w:shd w:val="clear" w:color="000000" w:fill="FFFFFF"/>
            <w:noWrap/>
            <w:vAlign w:val="center"/>
          </w:tcPr>
          <w:p w:rsidR="00B903E0" w:rsidRPr="00071923" w:rsidRDefault="00B903E0" w:rsidP="00B903E0">
            <w:pPr>
              <w:spacing w:after="0" w:line="240" w:lineRule="auto"/>
              <w:ind w:right="18"/>
              <w:jc w:val="center"/>
              <w:rPr>
                <w:rFonts w:ascii="Arial" w:hAnsi="Arial" w:cs="Arial"/>
                <w:bCs/>
                <w:sz w:val="18"/>
                <w:szCs w:val="18"/>
              </w:rPr>
            </w:pPr>
            <w:r w:rsidRPr="00071923">
              <w:rPr>
                <w:rFonts w:ascii="Arial" w:hAnsi="Arial" w:cs="Arial"/>
                <w:bCs/>
                <w:sz w:val="18"/>
                <w:szCs w:val="18"/>
              </w:rPr>
              <w:t>28,6</w:t>
            </w:r>
          </w:p>
        </w:tc>
        <w:tc>
          <w:tcPr>
            <w:tcW w:w="634" w:type="pct"/>
            <w:tcBorders>
              <w:top w:val="nil"/>
              <w:bottom w:val="nil"/>
            </w:tcBorders>
            <w:shd w:val="clear" w:color="000000" w:fill="FFFFFF"/>
            <w:noWrap/>
            <w:vAlign w:val="center"/>
          </w:tcPr>
          <w:p w:rsidR="00B903E0" w:rsidRPr="00071923" w:rsidRDefault="00B903E0" w:rsidP="00B903E0">
            <w:pPr>
              <w:spacing w:after="0" w:line="240" w:lineRule="auto"/>
              <w:ind w:right="17"/>
              <w:jc w:val="center"/>
              <w:rPr>
                <w:rFonts w:ascii="Arial" w:hAnsi="Arial" w:cs="Arial"/>
                <w:bCs/>
                <w:sz w:val="18"/>
                <w:szCs w:val="18"/>
              </w:rPr>
            </w:pPr>
            <w:r w:rsidRPr="00071923">
              <w:rPr>
                <w:rFonts w:ascii="Arial" w:hAnsi="Arial" w:cs="Arial"/>
                <w:bCs/>
                <w:sz w:val="18"/>
                <w:szCs w:val="18"/>
              </w:rPr>
              <w:t>28,6</w:t>
            </w:r>
          </w:p>
        </w:tc>
        <w:tc>
          <w:tcPr>
            <w:tcW w:w="546" w:type="pct"/>
            <w:tcBorders>
              <w:top w:val="nil"/>
              <w:bottom w:val="nil"/>
              <w:right w:val="single" w:sz="12" w:space="0" w:color="auto"/>
            </w:tcBorders>
            <w:shd w:val="clear" w:color="000000" w:fill="FFFFFF"/>
            <w:noWrap/>
            <w:vAlign w:val="center"/>
          </w:tcPr>
          <w:p w:rsidR="00B903E0" w:rsidRPr="00071923" w:rsidRDefault="00B903E0" w:rsidP="00B903E0">
            <w:pPr>
              <w:spacing w:after="0" w:line="240" w:lineRule="auto"/>
              <w:ind w:right="18"/>
              <w:jc w:val="center"/>
              <w:rPr>
                <w:rFonts w:ascii="Arial" w:hAnsi="Arial" w:cs="Arial"/>
                <w:bCs/>
                <w:sz w:val="18"/>
                <w:szCs w:val="18"/>
              </w:rPr>
            </w:pPr>
            <w:r w:rsidRPr="00071923">
              <w:rPr>
                <w:rFonts w:ascii="Arial" w:hAnsi="Arial" w:cs="Arial"/>
                <w:bCs/>
                <w:sz w:val="18"/>
                <w:szCs w:val="18"/>
              </w:rPr>
              <w:t>28,3</w:t>
            </w:r>
          </w:p>
        </w:tc>
      </w:tr>
      <w:tr w:rsidR="00B903E0" w:rsidRPr="00071923" w:rsidTr="00B903E0">
        <w:trPr>
          <w:trHeight w:val="299"/>
        </w:trPr>
        <w:tc>
          <w:tcPr>
            <w:tcW w:w="2187" w:type="pct"/>
            <w:tcBorders>
              <w:top w:val="nil"/>
              <w:left w:val="single" w:sz="12" w:space="0" w:color="auto"/>
              <w:bottom w:val="nil"/>
            </w:tcBorders>
            <w:shd w:val="clear" w:color="000000" w:fill="FFFFFF"/>
            <w:noWrap/>
            <w:vAlign w:val="center"/>
          </w:tcPr>
          <w:p w:rsidR="00B903E0" w:rsidRPr="00071923" w:rsidRDefault="00B903E0" w:rsidP="00887151">
            <w:pPr>
              <w:spacing w:after="0" w:line="240" w:lineRule="auto"/>
              <w:ind w:left="142"/>
              <w:rPr>
                <w:rFonts w:ascii="Arial" w:hAnsi="Arial" w:cs="Arial"/>
                <w:bCs/>
                <w:sz w:val="18"/>
                <w:szCs w:val="18"/>
              </w:rPr>
            </w:pPr>
            <w:r w:rsidRPr="00071923">
              <w:rPr>
                <w:rFonts w:ascii="Arial" w:hAnsi="Arial" w:cs="Arial"/>
                <w:bCs/>
                <w:sz w:val="18"/>
                <w:szCs w:val="18"/>
              </w:rPr>
              <w:t>Vergi Yükü (Sosyal Güvenlik Primleri Hariç) (1)</w:t>
            </w:r>
          </w:p>
        </w:tc>
        <w:tc>
          <w:tcPr>
            <w:tcW w:w="545" w:type="pct"/>
            <w:tcBorders>
              <w:top w:val="nil"/>
              <w:bottom w:val="nil"/>
            </w:tcBorders>
            <w:shd w:val="clear" w:color="000000" w:fill="FFFFFF"/>
            <w:noWrap/>
            <w:vAlign w:val="center"/>
          </w:tcPr>
          <w:p w:rsidR="00B903E0" w:rsidRPr="00071923" w:rsidRDefault="00B903E0" w:rsidP="00B903E0">
            <w:pPr>
              <w:spacing w:after="0" w:line="240" w:lineRule="auto"/>
              <w:ind w:right="21"/>
              <w:jc w:val="center"/>
              <w:rPr>
                <w:rFonts w:ascii="Arial" w:hAnsi="Arial" w:cs="Arial"/>
                <w:bCs/>
                <w:sz w:val="18"/>
                <w:szCs w:val="18"/>
              </w:rPr>
            </w:pPr>
            <w:r w:rsidRPr="00071923">
              <w:rPr>
                <w:rFonts w:ascii="Arial" w:hAnsi="Arial" w:cs="Arial"/>
                <w:bCs/>
                <w:sz w:val="18"/>
                <w:szCs w:val="18"/>
              </w:rPr>
              <w:t>20,2</w:t>
            </w:r>
          </w:p>
        </w:tc>
        <w:tc>
          <w:tcPr>
            <w:tcW w:w="546" w:type="pct"/>
            <w:tcBorders>
              <w:top w:val="nil"/>
              <w:bottom w:val="nil"/>
            </w:tcBorders>
            <w:shd w:val="clear" w:color="000000" w:fill="FFFFFF"/>
            <w:noWrap/>
            <w:vAlign w:val="center"/>
          </w:tcPr>
          <w:p w:rsidR="00B903E0" w:rsidRPr="00071923" w:rsidRDefault="00B903E0" w:rsidP="00B903E0">
            <w:pPr>
              <w:spacing w:after="0" w:line="240" w:lineRule="auto"/>
              <w:ind w:right="20"/>
              <w:jc w:val="center"/>
              <w:rPr>
                <w:rFonts w:ascii="Arial" w:hAnsi="Arial" w:cs="Arial"/>
                <w:bCs/>
                <w:sz w:val="18"/>
                <w:szCs w:val="18"/>
              </w:rPr>
            </w:pPr>
            <w:r w:rsidRPr="00071923">
              <w:rPr>
                <w:rFonts w:ascii="Arial" w:hAnsi="Arial" w:cs="Arial"/>
                <w:bCs/>
                <w:sz w:val="18"/>
                <w:szCs w:val="18"/>
              </w:rPr>
              <w:t>21,4</w:t>
            </w:r>
          </w:p>
        </w:tc>
        <w:tc>
          <w:tcPr>
            <w:tcW w:w="542" w:type="pct"/>
            <w:tcBorders>
              <w:top w:val="nil"/>
              <w:bottom w:val="nil"/>
            </w:tcBorders>
            <w:shd w:val="clear" w:color="000000" w:fill="FFFFFF"/>
            <w:noWrap/>
            <w:vAlign w:val="center"/>
          </w:tcPr>
          <w:p w:rsidR="00B903E0" w:rsidRPr="00071923" w:rsidRDefault="00B903E0" w:rsidP="00B903E0">
            <w:pPr>
              <w:spacing w:after="0" w:line="240" w:lineRule="auto"/>
              <w:ind w:right="18"/>
              <w:jc w:val="center"/>
              <w:rPr>
                <w:rFonts w:ascii="Arial" w:hAnsi="Arial" w:cs="Arial"/>
                <w:bCs/>
                <w:sz w:val="18"/>
                <w:szCs w:val="18"/>
              </w:rPr>
            </w:pPr>
            <w:r w:rsidRPr="00071923">
              <w:rPr>
                <w:rFonts w:ascii="Arial" w:hAnsi="Arial" w:cs="Arial"/>
                <w:bCs/>
                <w:sz w:val="18"/>
                <w:szCs w:val="18"/>
              </w:rPr>
              <w:t>20,9</w:t>
            </w:r>
          </w:p>
        </w:tc>
        <w:tc>
          <w:tcPr>
            <w:tcW w:w="634" w:type="pct"/>
            <w:tcBorders>
              <w:top w:val="nil"/>
              <w:bottom w:val="nil"/>
            </w:tcBorders>
            <w:shd w:val="clear" w:color="000000" w:fill="FFFFFF"/>
            <w:noWrap/>
            <w:vAlign w:val="center"/>
          </w:tcPr>
          <w:p w:rsidR="00B903E0" w:rsidRPr="00071923" w:rsidRDefault="00B903E0" w:rsidP="00B903E0">
            <w:pPr>
              <w:spacing w:after="0" w:line="240" w:lineRule="auto"/>
              <w:ind w:right="17"/>
              <w:jc w:val="center"/>
              <w:rPr>
                <w:rFonts w:ascii="Arial" w:hAnsi="Arial" w:cs="Arial"/>
                <w:bCs/>
                <w:sz w:val="18"/>
                <w:szCs w:val="18"/>
              </w:rPr>
            </w:pPr>
            <w:r w:rsidRPr="00071923">
              <w:rPr>
                <w:rFonts w:ascii="Arial" w:hAnsi="Arial" w:cs="Arial"/>
                <w:bCs/>
                <w:sz w:val="18"/>
                <w:szCs w:val="18"/>
              </w:rPr>
              <w:t>20,8</w:t>
            </w:r>
          </w:p>
        </w:tc>
        <w:tc>
          <w:tcPr>
            <w:tcW w:w="546" w:type="pct"/>
            <w:tcBorders>
              <w:top w:val="nil"/>
              <w:bottom w:val="nil"/>
              <w:right w:val="single" w:sz="12" w:space="0" w:color="auto"/>
            </w:tcBorders>
            <w:shd w:val="clear" w:color="000000" w:fill="FFFFFF"/>
            <w:noWrap/>
            <w:vAlign w:val="center"/>
          </w:tcPr>
          <w:p w:rsidR="00B903E0" w:rsidRPr="00071923" w:rsidRDefault="00B903E0" w:rsidP="00B903E0">
            <w:pPr>
              <w:spacing w:after="0" w:line="240" w:lineRule="auto"/>
              <w:ind w:right="18"/>
              <w:jc w:val="center"/>
              <w:rPr>
                <w:rFonts w:ascii="Arial" w:hAnsi="Arial" w:cs="Arial"/>
                <w:bCs/>
                <w:sz w:val="18"/>
                <w:szCs w:val="18"/>
              </w:rPr>
            </w:pPr>
            <w:r w:rsidRPr="00071923">
              <w:rPr>
                <w:rFonts w:ascii="Arial" w:hAnsi="Arial" w:cs="Arial"/>
                <w:bCs/>
                <w:sz w:val="18"/>
                <w:szCs w:val="18"/>
              </w:rPr>
              <w:t>20,6</w:t>
            </w:r>
          </w:p>
        </w:tc>
      </w:tr>
      <w:tr w:rsidR="00B903E0" w:rsidRPr="00071923" w:rsidTr="00B903E0">
        <w:trPr>
          <w:trHeight w:val="299"/>
        </w:trPr>
        <w:tc>
          <w:tcPr>
            <w:tcW w:w="2187" w:type="pct"/>
            <w:tcBorders>
              <w:top w:val="nil"/>
              <w:left w:val="single" w:sz="12" w:space="0" w:color="auto"/>
              <w:bottom w:val="single" w:sz="12" w:space="0" w:color="auto"/>
            </w:tcBorders>
            <w:shd w:val="clear" w:color="000000" w:fill="FFFFFF"/>
            <w:noWrap/>
            <w:vAlign w:val="center"/>
          </w:tcPr>
          <w:p w:rsidR="00B903E0" w:rsidRPr="00071923" w:rsidRDefault="00B903E0" w:rsidP="00887151">
            <w:pPr>
              <w:spacing w:after="0" w:line="240" w:lineRule="auto"/>
              <w:ind w:left="142"/>
              <w:rPr>
                <w:rFonts w:ascii="Arial" w:hAnsi="Arial" w:cs="Arial"/>
                <w:bCs/>
                <w:sz w:val="18"/>
                <w:szCs w:val="18"/>
              </w:rPr>
            </w:pPr>
            <w:r w:rsidRPr="00071923">
              <w:rPr>
                <w:rFonts w:ascii="Arial" w:hAnsi="Arial" w:cs="Arial"/>
                <w:bCs/>
                <w:sz w:val="18"/>
                <w:szCs w:val="18"/>
              </w:rPr>
              <w:t>AB Tanımlı Genel Devlet Borç Stoku</w:t>
            </w:r>
          </w:p>
        </w:tc>
        <w:tc>
          <w:tcPr>
            <w:tcW w:w="545" w:type="pct"/>
            <w:tcBorders>
              <w:top w:val="nil"/>
              <w:bottom w:val="single" w:sz="12" w:space="0" w:color="auto"/>
            </w:tcBorders>
            <w:shd w:val="clear" w:color="000000" w:fill="FFFFFF"/>
            <w:noWrap/>
            <w:vAlign w:val="center"/>
          </w:tcPr>
          <w:p w:rsidR="00B903E0" w:rsidRPr="00071923" w:rsidRDefault="00B903E0" w:rsidP="00B903E0">
            <w:pPr>
              <w:spacing w:after="0" w:line="240" w:lineRule="auto"/>
              <w:ind w:right="21"/>
              <w:jc w:val="center"/>
              <w:rPr>
                <w:rFonts w:ascii="Arial" w:hAnsi="Arial" w:cs="Arial"/>
                <w:bCs/>
                <w:sz w:val="18"/>
                <w:szCs w:val="18"/>
              </w:rPr>
            </w:pPr>
            <w:r w:rsidRPr="00071923">
              <w:rPr>
                <w:rFonts w:ascii="Arial" w:hAnsi="Arial" w:cs="Arial"/>
                <w:bCs/>
                <w:sz w:val="18"/>
                <w:szCs w:val="18"/>
              </w:rPr>
              <w:t>36,2</w:t>
            </w:r>
          </w:p>
        </w:tc>
        <w:tc>
          <w:tcPr>
            <w:tcW w:w="546" w:type="pct"/>
            <w:tcBorders>
              <w:top w:val="nil"/>
              <w:bottom w:val="single" w:sz="12" w:space="0" w:color="auto"/>
            </w:tcBorders>
            <w:shd w:val="clear" w:color="000000" w:fill="FFFFFF"/>
            <w:noWrap/>
            <w:vAlign w:val="center"/>
          </w:tcPr>
          <w:p w:rsidR="00B903E0" w:rsidRPr="00071923" w:rsidRDefault="00B903E0" w:rsidP="00B903E0">
            <w:pPr>
              <w:spacing w:after="0" w:line="240" w:lineRule="auto"/>
              <w:ind w:right="20"/>
              <w:jc w:val="center"/>
              <w:rPr>
                <w:rFonts w:ascii="Arial" w:hAnsi="Arial" w:cs="Arial"/>
                <w:bCs/>
                <w:sz w:val="18"/>
                <w:szCs w:val="18"/>
              </w:rPr>
            </w:pPr>
            <w:r w:rsidRPr="00071923">
              <w:rPr>
                <w:rFonts w:ascii="Arial" w:hAnsi="Arial" w:cs="Arial"/>
                <w:bCs/>
                <w:sz w:val="18"/>
                <w:szCs w:val="18"/>
              </w:rPr>
              <w:t>35,0</w:t>
            </w:r>
          </w:p>
        </w:tc>
        <w:tc>
          <w:tcPr>
            <w:tcW w:w="542" w:type="pct"/>
            <w:tcBorders>
              <w:top w:val="nil"/>
              <w:bottom w:val="single" w:sz="12" w:space="0" w:color="auto"/>
            </w:tcBorders>
            <w:shd w:val="clear" w:color="000000" w:fill="FFFFFF"/>
            <w:noWrap/>
            <w:vAlign w:val="center"/>
          </w:tcPr>
          <w:p w:rsidR="00B903E0" w:rsidRPr="00071923" w:rsidRDefault="00B903E0" w:rsidP="00B903E0">
            <w:pPr>
              <w:spacing w:after="0" w:line="240" w:lineRule="auto"/>
              <w:ind w:right="18"/>
              <w:jc w:val="center"/>
              <w:rPr>
                <w:rFonts w:ascii="Arial" w:hAnsi="Arial" w:cs="Arial"/>
                <w:bCs/>
                <w:sz w:val="18"/>
                <w:szCs w:val="18"/>
              </w:rPr>
            </w:pPr>
            <w:r w:rsidRPr="00071923">
              <w:rPr>
                <w:rFonts w:ascii="Arial" w:hAnsi="Arial" w:cs="Arial"/>
                <w:bCs/>
                <w:sz w:val="18"/>
                <w:szCs w:val="18"/>
              </w:rPr>
              <w:t>33,0</w:t>
            </w:r>
          </w:p>
        </w:tc>
        <w:tc>
          <w:tcPr>
            <w:tcW w:w="634" w:type="pct"/>
            <w:tcBorders>
              <w:top w:val="nil"/>
              <w:bottom w:val="single" w:sz="12" w:space="0" w:color="auto"/>
            </w:tcBorders>
            <w:shd w:val="clear" w:color="000000" w:fill="FFFFFF"/>
            <w:noWrap/>
            <w:vAlign w:val="center"/>
          </w:tcPr>
          <w:p w:rsidR="00B903E0" w:rsidRPr="00071923" w:rsidRDefault="00B903E0" w:rsidP="00B903E0">
            <w:pPr>
              <w:spacing w:after="0" w:line="240" w:lineRule="auto"/>
              <w:ind w:right="17"/>
              <w:jc w:val="center"/>
              <w:rPr>
                <w:rFonts w:ascii="Arial" w:hAnsi="Arial" w:cs="Arial"/>
                <w:bCs/>
                <w:sz w:val="18"/>
                <w:szCs w:val="18"/>
              </w:rPr>
            </w:pPr>
            <w:r w:rsidRPr="00071923">
              <w:rPr>
                <w:rFonts w:ascii="Arial" w:hAnsi="Arial" w:cs="Arial"/>
                <w:bCs/>
                <w:sz w:val="18"/>
                <w:szCs w:val="18"/>
              </w:rPr>
              <w:t>31,0</w:t>
            </w:r>
          </w:p>
        </w:tc>
        <w:tc>
          <w:tcPr>
            <w:tcW w:w="546" w:type="pct"/>
            <w:tcBorders>
              <w:top w:val="nil"/>
              <w:bottom w:val="single" w:sz="12" w:space="0" w:color="auto"/>
              <w:right w:val="single" w:sz="12" w:space="0" w:color="auto"/>
            </w:tcBorders>
            <w:shd w:val="clear" w:color="000000" w:fill="FFFFFF"/>
            <w:noWrap/>
            <w:vAlign w:val="center"/>
          </w:tcPr>
          <w:p w:rsidR="00B903E0" w:rsidRPr="00071923" w:rsidRDefault="00B903E0" w:rsidP="00B903E0">
            <w:pPr>
              <w:spacing w:after="0" w:line="240" w:lineRule="auto"/>
              <w:ind w:right="18"/>
              <w:jc w:val="center"/>
              <w:rPr>
                <w:rFonts w:ascii="Arial" w:hAnsi="Arial" w:cs="Arial"/>
                <w:bCs/>
                <w:sz w:val="18"/>
                <w:szCs w:val="18"/>
              </w:rPr>
            </w:pPr>
            <w:r w:rsidRPr="00071923">
              <w:rPr>
                <w:rFonts w:ascii="Arial" w:hAnsi="Arial" w:cs="Arial"/>
                <w:bCs/>
                <w:sz w:val="18"/>
                <w:szCs w:val="18"/>
              </w:rPr>
              <w:t>30,0</w:t>
            </w:r>
          </w:p>
        </w:tc>
      </w:tr>
    </w:tbl>
    <w:p w:rsidR="00B903E0" w:rsidRPr="00071923" w:rsidRDefault="00B903E0" w:rsidP="00B903E0">
      <w:pPr>
        <w:spacing w:after="0" w:line="240" w:lineRule="auto"/>
        <w:rPr>
          <w:rFonts w:ascii="Arial" w:hAnsi="Arial" w:cs="Arial"/>
          <w:sz w:val="16"/>
        </w:rPr>
      </w:pPr>
      <w:r w:rsidRPr="00071923">
        <w:rPr>
          <w:rFonts w:ascii="Arial" w:hAnsi="Arial" w:cs="Arial"/>
          <w:sz w:val="16"/>
        </w:rPr>
        <w:t xml:space="preserve">(1) </w:t>
      </w:r>
      <w:proofErr w:type="spellStart"/>
      <w:r w:rsidRPr="00071923">
        <w:rPr>
          <w:rFonts w:ascii="Arial" w:hAnsi="Arial" w:cs="Arial"/>
          <w:sz w:val="16"/>
        </w:rPr>
        <w:t>Red</w:t>
      </w:r>
      <w:proofErr w:type="spellEnd"/>
      <w:r w:rsidRPr="00071923">
        <w:rPr>
          <w:rFonts w:ascii="Arial" w:hAnsi="Arial" w:cs="Arial"/>
          <w:sz w:val="16"/>
        </w:rPr>
        <w:t xml:space="preserve"> ve iadeler hariçtir.</w:t>
      </w:r>
    </w:p>
    <w:p w:rsidR="00B903E0" w:rsidRPr="00071923" w:rsidRDefault="00B903E0" w:rsidP="00B903E0">
      <w:pPr>
        <w:rPr>
          <w:rFonts w:ascii="Arial" w:hAnsi="Arial" w:cs="Arial"/>
        </w:rPr>
      </w:pPr>
    </w:p>
    <w:p w:rsidR="00B903E0" w:rsidRPr="00071923" w:rsidRDefault="00B903E0" w:rsidP="00B903E0">
      <w:pPr>
        <w:rPr>
          <w:rFonts w:ascii="Arial" w:hAnsi="Arial" w:cs="Arial"/>
        </w:rPr>
      </w:pPr>
    </w:p>
    <w:p w:rsidR="00B903E0" w:rsidRPr="00071923" w:rsidRDefault="00B903E0" w:rsidP="00B903E0">
      <w:pPr>
        <w:tabs>
          <w:tab w:val="left" w:pos="9356"/>
        </w:tabs>
        <w:spacing w:after="0" w:line="240" w:lineRule="auto"/>
        <w:ind w:right="-284"/>
        <w:jc w:val="center"/>
        <w:rPr>
          <w:rFonts w:ascii="Arial" w:hAnsi="Arial" w:cs="Arial"/>
          <w:sz w:val="16"/>
        </w:rPr>
      </w:pP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0"/>
        <w:gridCol w:w="980"/>
        <w:gridCol w:w="980"/>
        <w:gridCol w:w="951"/>
        <w:gridCol w:w="992"/>
        <w:gridCol w:w="1000"/>
      </w:tblGrid>
      <w:tr w:rsidR="00B903E0" w:rsidRPr="00071923" w:rsidTr="00A60270">
        <w:trPr>
          <w:trHeight w:val="300"/>
        </w:trPr>
        <w:tc>
          <w:tcPr>
            <w:tcW w:w="8943" w:type="dxa"/>
            <w:gridSpan w:val="6"/>
            <w:tcBorders>
              <w:top w:val="nil"/>
              <w:left w:val="nil"/>
              <w:bottom w:val="single" w:sz="12" w:space="0" w:color="auto"/>
              <w:right w:val="nil"/>
            </w:tcBorders>
            <w:shd w:val="clear" w:color="auto" w:fill="auto"/>
            <w:noWrap/>
          </w:tcPr>
          <w:p w:rsidR="00B903E0" w:rsidRPr="00071923" w:rsidRDefault="00B903E0" w:rsidP="00A60270">
            <w:pPr>
              <w:spacing w:after="0" w:line="240" w:lineRule="auto"/>
              <w:rPr>
                <w:rFonts w:ascii="Arial" w:eastAsia="Times New Roman" w:hAnsi="Arial" w:cs="Arial"/>
                <w:b/>
                <w:bCs/>
                <w:sz w:val="16"/>
                <w:szCs w:val="16"/>
                <w:lang w:eastAsia="tr-TR"/>
              </w:rPr>
            </w:pPr>
            <w:r w:rsidRPr="00071923">
              <w:rPr>
                <w:rFonts w:ascii="Arial" w:hAnsi="Arial" w:cs="Arial"/>
                <w:b/>
              </w:rPr>
              <w:t>Ek Tablo 5: Genel Devlet Dengesi (1)</w:t>
            </w:r>
          </w:p>
        </w:tc>
      </w:tr>
      <w:tr w:rsidR="00B903E0" w:rsidRPr="00071923" w:rsidTr="00A60270">
        <w:trPr>
          <w:trHeight w:val="300"/>
        </w:trPr>
        <w:tc>
          <w:tcPr>
            <w:tcW w:w="4040" w:type="dxa"/>
            <w:tcBorders>
              <w:top w:val="single" w:sz="12" w:space="0" w:color="auto"/>
              <w:left w:val="single" w:sz="12" w:space="0" w:color="auto"/>
              <w:bottom w:val="nil"/>
            </w:tcBorders>
            <w:shd w:val="clear" w:color="auto" w:fill="auto"/>
            <w:noWrap/>
            <w:hideMark/>
          </w:tcPr>
          <w:p w:rsidR="00B903E0" w:rsidRPr="00071923" w:rsidRDefault="00B903E0" w:rsidP="00A60270">
            <w:pPr>
              <w:spacing w:after="0" w:line="240" w:lineRule="auto"/>
              <w:rPr>
                <w:rFonts w:ascii="Arial" w:eastAsia="Times New Roman" w:hAnsi="Arial" w:cs="Arial"/>
                <w:sz w:val="18"/>
                <w:szCs w:val="18"/>
                <w:lang w:eastAsia="tr-TR"/>
              </w:rPr>
            </w:pPr>
            <w:r w:rsidRPr="00071923">
              <w:rPr>
                <w:rFonts w:ascii="Arial" w:eastAsia="Times New Roman" w:hAnsi="Arial" w:cs="Arial"/>
                <w:sz w:val="18"/>
                <w:szCs w:val="18"/>
                <w:lang w:eastAsia="tr-TR"/>
              </w:rPr>
              <w:t> </w:t>
            </w:r>
          </w:p>
        </w:tc>
        <w:tc>
          <w:tcPr>
            <w:tcW w:w="980" w:type="dxa"/>
            <w:tcBorders>
              <w:top w:val="single" w:sz="12" w:space="0" w:color="auto"/>
              <w:bottom w:val="nil"/>
            </w:tcBorders>
            <w:shd w:val="clear" w:color="auto" w:fill="auto"/>
            <w:noWrap/>
            <w:vAlign w:val="center"/>
            <w:hideMark/>
          </w:tcPr>
          <w:p w:rsidR="00B903E0" w:rsidRPr="00071923" w:rsidRDefault="00B903E0" w:rsidP="00A60270">
            <w:pPr>
              <w:spacing w:after="0" w:line="240" w:lineRule="auto"/>
              <w:rPr>
                <w:rFonts w:ascii="Arial" w:eastAsia="Times New Roman" w:hAnsi="Arial" w:cs="Arial"/>
                <w:b/>
                <w:bCs/>
                <w:sz w:val="18"/>
                <w:szCs w:val="18"/>
                <w:lang w:eastAsia="tr-TR"/>
              </w:rPr>
            </w:pPr>
          </w:p>
        </w:tc>
        <w:tc>
          <w:tcPr>
            <w:tcW w:w="980" w:type="dxa"/>
            <w:tcBorders>
              <w:top w:val="single" w:sz="12" w:space="0" w:color="auto"/>
              <w:bottom w:val="nil"/>
            </w:tcBorders>
            <w:shd w:val="clear" w:color="auto" w:fill="auto"/>
            <w:noWrap/>
            <w:vAlign w:val="center"/>
            <w:hideMark/>
          </w:tcPr>
          <w:p w:rsidR="00B903E0" w:rsidRPr="00071923" w:rsidRDefault="00B903E0" w:rsidP="00A60270">
            <w:pPr>
              <w:spacing w:after="0" w:line="240" w:lineRule="auto"/>
              <w:rPr>
                <w:rFonts w:ascii="Arial" w:eastAsia="Times New Roman" w:hAnsi="Arial" w:cs="Arial"/>
                <w:b/>
                <w:bCs/>
                <w:sz w:val="18"/>
                <w:szCs w:val="18"/>
                <w:lang w:eastAsia="tr-TR"/>
              </w:rPr>
            </w:pPr>
          </w:p>
        </w:tc>
        <w:tc>
          <w:tcPr>
            <w:tcW w:w="2943" w:type="dxa"/>
            <w:gridSpan w:val="3"/>
            <w:tcBorders>
              <w:top w:val="single" w:sz="12" w:space="0" w:color="auto"/>
              <w:right w:val="single" w:sz="12" w:space="0" w:color="auto"/>
            </w:tcBorders>
            <w:shd w:val="clear" w:color="auto" w:fill="auto"/>
            <w:noWrap/>
            <w:vAlign w:val="center"/>
            <w:hideMark/>
          </w:tcPr>
          <w:p w:rsidR="00B903E0" w:rsidRPr="00071923" w:rsidRDefault="00B903E0" w:rsidP="00A60270">
            <w:pPr>
              <w:spacing w:after="0" w:line="240" w:lineRule="auto"/>
              <w:jc w:val="center"/>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OVP</w:t>
            </w:r>
          </w:p>
        </w:tc>
      </w:tr>
      <w:tr w:rsidR="00B903E0" w:rsidRPr="00071923" w:rsidTr="00A60270">
        <w:trPr>
          <w:trHeight w:val="300"/>
        </w:trPr>
        <w:tc>
          <w:tcPr>
            <w:tcW w:w="4040" w:type="dxa"/>
            <w:tcBorders>
              <w:top w:val="nil"/>
              <w:left w:val="single" w:sz="12" w:space="0" w:color="auto"/>
              <w:bottom w:val="single" w:sz="12" w:space="0" w:color="auto"/>
            </w:tcBorders>
            <w:shd w:val="clear" w:color="auto" w:fill="auto"/>
            <w:noWrap/>
            <w:hideMark/>
          </w:tcPr>
          <w:p w:rsidR="00B903E0" w:rsidRPr="00071923" w:rsidRDefault="00B903E0" w:rsidP="00A60270">
            <w:pPr>
              <w:spacing w:after="0" w:line="240" w:lineRule="auto"/>
              <w:rPr>
                <w:rFonts w:ascii="Arial" w:eastAsia="Times New Roman" w:hAnsi="Arial" w:cs="Arial"/>
                <w:sz w:val="18"/>
                <w:szCs w:val="18"/>
                <w:lang w:eastAsia="tr-TR"/>
              </w:rPr>
            </w:pPr>
            <w:r w:rsidRPr="00071923">
              <w:rPr>
                <w:rFonts w:ascii="Arial" w:eastAsia="Times New Roman" w:hAnsi="Arial" w:cs="Arial"/>
                <w:sz w:val="18"/>
                <w:szCs w:val="18"/>
                <w:lang w:eastAsia="tr-TR"/>
              </w:rPr>
              <w:t> </w:t>
            </w:r>
          </w:p>
        </w:tc>
        <w:tc>
          <w:tcPr>
            <w:tcW w:w="980" w:type="dxa"/>
            <w:tcBorders>
              <w:top w:val="nil"/>
              <w:bottom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2012</w:t>
            </w:r>
          </w:p>
        </w:tc>
        <w:tc>
          <w:tcPr>
            <w:tcW w:w="980" w:type="dxa"/>
            <w:tcBorders>
              <w:top w:val="nil"/>
              <w:bottom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2013 GT</w:t>
            </w:r>
          </w:p>
        </w:tc>
        <w:tc>
          <w:tcPr>
            <w:tcW w:w="951" w:type="dxa"/>
            <w:tcBorders>
              <w:bottom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2014</w:t>
            </w:r>
          </w:p>
        </w:tc>
        <w:tc>
          <w:tcPr>
            <w:tcW w:w="992" w:type="dxa"/>
            <w:tcBorders>
              <w:bottom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2015</w:t>
            </w:r>
          </w:p>
        </w:tc>
        <w:tc>
          <w:tcPr>
            <w:tcW w:w="1000" w:type="dxa"/>
            <w:tcBorders>
              <w:bottom w:val="single" w:sz="12" w:space="0" w:color="auto"/>
              <w:right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2016</w:t>
            </w:r>
          </w:p>
        </w:tc>
      </w:tr>
      <w:tr w:rsidR="00B903E0" w:rsidRPr="00071923" w:rsidTr="00A60270">
        <w:trPr>
          <w:trHeight w:val="300"/>
        </w:trPr>
        <w:tc>
          <w:tcPr>
            <w:tcW w:w="4040" w:type="dxa"/>
            <w:tcBorders>
              <w:top w:val="single" w:sz="12" w:space="0" w:color="auto"/>
              <w:left w:val="single" w:sz="12" w:space="0" w:color="auto"/>
              <w:bottom w:val="nil"/>
            </w:tcBorders>
            <w:shd w:val="clear" w:color="auto" w:fill="auto"/>
            <w:noWrap/>
          </w:tcPr>
          <w:p w:rsidR="00B903E0" w:rsidRPr="00071923" w:rsidRDefault="00B903E0" w:rsidP="00A60270">
            <w:pPr>
              <w:spacing w:after="0" w:line="240" w:lineRule="auto"/>
              <w:rPr>
                <w:rFonts w:ascii="Arial" w:eastAsia="Times New Roman" w:hAnsi="Arial" w:cs="Arial"/>
                <w:b/>
                <w:bCs/>
                <w:color w:val="000000"/>
                <w:sz w:val="18"/>
                <w:szCs w:val="18"/>
                <w:lang w:eastAsia="tr-TR"/>
              </w:rPr>
            </w:pPr>
          </w:p>
        </w:tc>
        <w:tc>
          <w:tcPr>
            <w:tcW w:w="4903" w:type="dxa"/>
            <w:gridSpan w:val="5"/>
            <w:tcBorders>
              <w:top w:val="single" w:sz="12" w:space="0" w:color="auto"/>
              <w:bottom w:val="nil"/>
              <w:right w:val="single" w:sz="12" w:space="0" w:color="auto"/>
            </w:tcBorders>
            <w:shd w:val="clear" w:color="auto" w:fill="auto"/>
            <w:noWrap/>
            <w:vAlign w:val="center"/>
          </w:tcPr>
          <w:p w:rsidR="00B903E0" w:rsidRPr="00071923" w:rsidRDefault="00B903E0" w:rsidP="00071923">
            <w:pPr>
              <w:spacing w:after="0" w:line="240" w:lineRule="auto"/>
              <w:jc w:val="center"/>
              <w:rPr>
                <w:rFonts w:ascii="Arial" w:eastAsia="Times New Roman" w:hAnsi="Arial" w:cs="Arial"/>
                <w:bCs/>
                <w:sz w:val="18"/>
                <w:szCs w:val="18"/>
                <w:lang w:eastAsia="tr-TR"/>
              </w:rPr>
            </w:pPr>
            <w:r w:rsidRPr="00071923">
              <w:rPr>
                <w:rFonts w:ascii="Arial" w:eastAsia="Times New Roman" w:hAnsi="Arial" w:cs="Arial"/>
                <w:bCs/>
                <w:sz w:val="18"/>
                <w:szCs w:val="18"/>
                <w:lang w:eastAsia="tr-TR"/>
              </w:rPr>
              <w:t>(Milyar TL)</w:t>
            </w:r>
          </w:p>
        </w:tc>
      </w:tr>
      <w:tr w:rsidR="00B903E0" w:rsidRPr="00071923" w:rsidTr="00A60270">
        <w:trPr>
          <w:trHeight w:val="300"/>
        </w:trPr>
        <w:tc>
          <w:tcPr>
            <w:tcW w:w="4040" w:type="dxa"/>
            <w:tcBorders>
              <w:left w:val="single" w:sz="12" w:space="0" w:color="auto"/>
              <w:bottom w:val="nil"/>
            </w:tcBorders>
            <w:shd w:val="clear" w:color="auto" w:fill="auto"/>
            <w:noWrap/>
            <w:vAlign w:val="center"/>
            <w:hideMark/>
          </w:tcPr>
          <w:p w:rsidR="00B903E0" w:rsidRPr="00071923" w:rsidRDefault="00B903E0" w:rsidP="00A60270">
            <w:pPr>
              <w:spacing w:after="0" w:line="240" w:lineRule="auto"/>
              <w:rPr>
                <w:rFonts w:ascii="Arial" w:eastAsia="Times New Roman" w:hAnsi="Arial" w:cs="Arial"/>
                <w:b/>
                <w:bCs/>
                <w:color w:val="000000"/>
                <w:sz w:val="18"/>
                <w:szCs w:val="18"/>
                <w:lang w:eastAsia="tr-TR"/>
              </w:rPr>
            </w:pPr>
            <w:r w:rsidRPr="00071923">
              <w:rPr>
                <w:rFonts w:ascii="Arial" w:eastAsia="Times New Roman" w:hAnsi="Arial" w:cs="Arial"/>
                <w:b/>
                <w:bCs/>
                <w:color w:val="000000"/>
                <w:sz w:val="18"/>
                <w:szCs w:val="18"/>
                <w:lang w:eastAsia="tr-TR"/>
              </w:rPr>
              <w:t>Gelirler</w:t>
            </w:r>
          </w:p>
        </w:tc>
        <w:tc>
          <w:tcPr>
            <w:tcW w:w="980" w:type="dxa"/>
            <w:tcBorders>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535,8</w:t>
            </w:r>
          </w:p>
        </w:tc>
        <w:tc>
          <w:tcPr>
            <w:tcW w:w="980" w:type="dxa"/>
            <w:tcBorders>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619,5</w:t>
            </w:r>
          </w:p>
        </w:tc>
        <w:tc>
          <w:tcPr>
            <w:tcW w:w="951" w:type="dxa"/>
            <w:tcBorders>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660,3</w:t>
            </w:r>
          </w:p>
        </w:tc>
        <w:tc>
          <w:tcPr>
            <w:tcW w:w="992" w:type="dxa"/>
            <w:tcBorders>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722,6</w:t>
            </w:r>
          </w:p>
        </w:tc>
        <w:tc>
          <w:tcPr>
            <w:tcW w:w="1000" w:type="dxa"/>
            <w:tcBorders>
              <w:bottom w:val="nil"/>
              <w:right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789,3</w:t>
            </w:r>
          </w:p>
        </w:tc>
      </w:tr>
      <w:tr w:rsidR="00B903E0" w:rsidRPr="00071923" w:rsidTr="00A60270">
        <w:trPr>
          <w:trHeight w:val="300"/>
        </w:trPr>
        <w:tc>
          <w:tcPr>
            <w:tcW w:w="4040" w:type="dxa"/>
            <w:tcBorders>
              <w:top w:val="nil"/>
              <w:left w:val="single" w:sz="12" w:space="0" w:color="auto"/>
              <w:bottom w:val="nil"/>
            </w:tcBorders>
            <w:shd w:val="clear" w:color="auto" w:fill="auto"/>
            <w:noWrap/>
            <w:vAlign w:val="center"/>
            <w:hideMark/>
          </w:tcPr>
          <w:p w:rsidR="00B903E0" w:rsidRPr="00071923" w:rsidRDefault="00B903E0" w:rsidP="00071923">
            <w:pPr>
              <w:spacing w:after="0" w:line="240" w:lineRule="auto"/>
              <w:ind w:firstLineChars="200" w:firstLine="360"/>
              <w:rPr>
                <w:rFonts w:ascii="Arial" w:eastAsia="Times New Roman" w:hAnsi="Arial" w:cs="Arial"/>
                <w:sz w:val="18"/>
                <w:szCs w:val="18"/>
                <w:lang w:eastAsia="tr-TR"/>
              </w:rPr>
            </w:pPr>
            <w:r w:rsidRPr="00071923">
              <w:rPr>
                <w:rFonts w:ascii="Arial" w:eastAsia="Times New Roman" w:hAnsi="Arial" w:cs="Arial"/>
                <w:sz w:val="18"/>
                <w:szCs w:val="18"/>
                <w:lang w:eastAsia="tr-TR"/>
              </w:rPr>
              <w:t>Vergiler</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285,7</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333,7</w:t>
            </w:r>
          </w:p>
        </w:tc>
        <w:tc>
          <w:tcPr>
            <w:tcW w:w="951"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358,6</w:t>
            </w:r>
          </w:p>
        </w:tc>
        <w:tc>
          <w:tcPr>
            <w:tcW w:w="992"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394,3</w:t>
            </w:r>
          </w:p>
        </w:tc>
        <w:tc>
          <w:tcPr>
            <w:tcW w:w="1000" w:type="dxa"/>
            <w:tcBorders>
              <w:top w:val="nil"/>
              <w:bottom w:val="nil"/>
              <w:right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430,1</w:t>
            </w:r>
          </w:p>
        </w:tc>
      </w:tr>
      <w:tr w:rsidR="00B903E0" w:rsidRPr="00071923" w:rsidTr="00A60270">
        <w:trPr>
          <w:trHeight w:val="300"/>
        </w:trPr>
        <w:tc>
          <w:tcPr>
            <w:tcW w:w="4040" w:type="dxa"/>
            <w:tcBorders>
              <w:top w:val="nil"/>
              <w:left w:val="single" w:sz="12" w:space="0" w:color="auto"/>
              <w:bottom w:val="nil"/>
            </w:tcBorders>
            <w:shd w:val="clear" w:color="auto" w:fill="auto"/>
            <w:noWrap/>
            <w:vAlign w:val="center"/>
            <w:hideMark/>
          </w:tcPr>
          <w:p w:rsidR="00B903E0" w:rsidRPr="00071923" w:rsidRDefault="00B903E0" w:rsidP="00071923">
            <w:pPr>
              <w:spacing w:after="0" w:line="240" w:lineRule="auto"/>
              <w:ind w:firstLineChars="200" w:firstLine="360"/>
              <w:rPr>
                <w:rFonts w:ascii="Arial" w:eastAsia="Times New Roman" w:hAnsi="Arial" w:cs="Arial"/>
                <w:sz w:val="18"/>
                <w:szCs w:val="18"/>
                <w:lang w:eastAsia="tr-TR"/>
              </w:rPr>
            </w:pPr>
            <w:r w:rsidRPr="00071923">
              <w:rPr>
                <w:rFonts w:ascii="Arial" w:eastAsia="Times New Roman" w:hAnsi="Arial" w:cs="Arial"/>
                <w:sz w:val="18"/>
                <w:szCs w:val="18"/>
                <w:lang w:eastAsia="tr-TR"/>
              </w:rPr>
              <w:t>Vergi Dışı Normal Gelirler</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30,2</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29,7</w:t>
            </w:r>
          </w:p>
        </w:tc>
        <w:tc>
          <w:tcPr>
            <w:tcW w:w="951"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30,7</w:t>
            </w:r>
          </w:p>
        </w:tc>
        <w:tc>
          <w:tcPr>
            <w:tcW w:w="992"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34,6</w:t>
            </w:r>
          </w:p>
        </w:tc>
        <w:tc>
          <w:tcPr>
            <w:tcW w:w="1000" w:type="dxa"/>
            <w:tcBorders>
              <w:top w:val="nil"/>
              <w:bottom w:val="nil"/>
              <w:right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40,9</w:t>
            </w:r>
          </w:p>
        </w:tc>
      </w:tr>
      <w:tr w:rsidR="00B903E0" w:rsidRPr="00071923" w:rsidTr="00A60270">
        <w:trPr>
          <w:trHeight w:val="300"/>
        </w:trPr>
        <w:tc>
          <w:tcPr>
            <w:tcW w:w="4040" w:type="dxa"/>
            <w:tcBorders>
              <w:top w:val="nil"/>
              <w:left w:val="single" w:sz="12" w:space="0" w:color="auto"/>
              <w:bottom w:val="nil"/>
            </w:tcBorders>
            <w:shd w:val="clear" w:color="auto" w:fill="auto"/>
            <w:noWrap/>
            <w:vAlign w:val="center"/>
            <w:hideMark/>
          </w:tcPr>
          <w:p w:rsidR="00B903E0" w:rsidRPr="00071923" w:rsidRDefault="00B903E0" w:rsidP="00071923">
            <w:pPr>
              <w:spacing w:after="0" w:line="240" w:lineRule="auto"/>
              <w:ind w:firstLineChars="200" w:firstLine="360"/>
              <w:rPr>
                <w:rFonts w:ascii="Arial" w:eastAsia="Times New Roman" w:hAnsi="Arial" w:cs="Arial"/>
                <w:sz w:val="18"/>
                <w:szCs w:val="18"/>
                <w:lang w:eastAsia="tr-TR"/>
              </w:rPr>
            </w:pPr>
            <w:r w:rsidRPr="00071923">
              <w:rPr>
                <w:rFonts w:ascii="Arial" w:eastAsia="Times New Roman" w:hAnsi="Arial" w:cs="Arial"/>
                <w:sz w:val="18"/>
                <w:szCs w:val="18"/>
                <w:lang w:eastAsia="tr-TR"/>
              </w:rPr>
              <w:t>Faktör Gelirleri</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80,9</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89,5</w:t>
            </w:r>
          </w:p>
        </w:tc>
        <w:tc>
          <w:tcPr>
            <w:tcW w:w="951"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86,7</w:t>
            </w:r>
          </w:p>
        </w:tc>
        <w:tc>
          <w:tcPr>
            <w:tcW w:w="992"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93,1</w:t>
            </w:r>
          </w:p>
        </w:tc>
        <w:tc>
          <w:tcPr>
            <w:tcW w:w="1000" w:type="dxa"/>
            <w:tcBorders>
              <w:top w:val="nil"/>
              <w:bottom w:val="nil"/>
              <w:right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101,2</w:t>
            </w:r>
          </w:p>
        </w:tc>
      </w:tr>
      <w:tr w:rsidR="00B903E0" w:rsidRPr="00071923" w:rsidTr="00A60270">
        <w:trPr>
          <w:trHeight w:val="300"/>
        </w:trPr>
        <w:tc>
          <w:tcPr>
            <w:tcW w:w="4040" w:type="dxa"/>
            <w:tcBorders>
              <w:top w:val="nil"/>
              <w:left w:val="single" w:sz="12" w:space="0" w:color="auto"/>
              <w:bottom w:val="nil"/>
            </w:tcBorders>
            <w:shd w:val="clear" w:color="auto" w:fill="auto"/>
            <w:noWrap/>
            <w:vAlign w:val="center"/>
            <w:hideMark/>
          </w:tcPr>
          <w:p w:rsidR="00B903E0" w:rsidRPr="00071923" w:rsidRDefault="00B903E0" w:rsidP="00071923">
            <w:pPr>
              <w:spacing w:after="0" w:line="240" w:lineRule="auto"/>
              <w:ind w:firstLineChars="200" w:firstLine="360"/>
              <w:rPr>
                <w:rFonts w:ascii="Arial" w:eastAsia="Times New Roman" w:hAnsi="Arial" w:cs="Arial"/>
                <w:sz w:val="18"/>
                <w:szCs w:val="18"/>
                <w:lang w:eastAsia="tr-TR"/>
              </w:rPr>
            </w:pPr>
            <w:r w:rsidRPr="00071923">
              <w:rPr>
                <w:rFonts w:ascii="Arial" w:eastAsia="Times New Roman" w:hAnsi="Arial" w:cs="Arial"/>
                <w:sz w:val="18"/>
                <w:szCs w:val="18"/>
                <w:lang w:eastAsia="tr-TR"/>
              </w:rPr>
              <w:t>Sosyal Fonlar</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132,6</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157,0</w:t>
            </w:r>
          </w:p>
        </w:tc>
        <w:tc>
          <w:tcPr>
            <w:tcW w:w="951"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174,6</w:t>
            </w:r>
          </w:p>
        </w:tc>
        <w:tc>
          <w:tcPr>
            <w:tcW w:w="992"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193,0</w:t>
            </w:r>
          </w:p>
        </w:tc>
        <w:tc>
          <w:tcPr>
            <w:tcW w:w="1000" w:type="dxa"/>
            <w:tcBorders>
              <w:top w:val="nil"/>
              <w:bottom w:val="nil"/>
              <w:right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213,1</w:t>
            </w:r>
          </w:p>
        </w:tc>
      </w:tr>
      <w:tr w:rsidR="00B903E0" w:rsidRPr="00071923" w:rsidTr="00A60270">
        <w:trPr>
          <w:trHeight w:val="300"/>
        </w:trPr>
        <w:tc>
          <w:tcPr>
            <w:tcW w:w="4040" w:type="dxa"/>
            <w:tcBorders>
              <w:top w:val="nil"/>
              <w:left w:val="single" w:sz="12" w:space="0" w:color="auto"/>
              <w:bottom w:val="nil"/>
            </w:tcBorders>
            <w:shd w:val="clear" w:color="auto" w:fill="auto"/>
            <w:noWrap/>
            <w:vAlign w:val="center"/>
            <w:hideMark/>
          </w:tcPr>
          <w:p w:rsidR="00B903E0" w:rsidRPr="00071923" w:rsidRDefault="00B903E0" w:rsidP="00071923">
            <w:pPr>
              <w:spacing w:after="0" w:line="240" w:lineRule="auto"/>
              <w:ind w:firstLineChars="200" w:firstLine="360"/>
              <w:rPr>
                <w:rFonts w:ascii="Arial" w:eastAsia="Times New Roman" w:hAnsi="Arial" w:cs="Arial"/>
                <w:sz w:val="18"/>
                <w:szCs w:val="18"/>
                <w:lang w:eastAsia="tr-TR"/>
              </w:rPr>
            </w:pPr>
            <w:r w:rsidRPr="00071923">
              <w:rPr>
                <w:rFonts w:ascii="Arial" w:eastAsia="Times New Roman" w:hAnsi="Arial" w:cs="Arial"/>
                <w:sz w:val="18"/>
                <w:szCs w:val="18"/>
                <w:lang w:eastAsia="tr-TR"/>
              </w:rPr>
              <w:t>Özelleştirme Gelirleri</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6,4</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9,7</w:t>
            </w:r>
          </w:p>
        </w:tc>
        <w:tc>
          <w:tcPr>
            <w:tcW w:w="951"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9,7</w:t>
            </w:r>
          </w:p>
        </w:tc>
        <w:tc>
          <w:tcPr>
            <w:tcW w:w="992"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7,6</w:t>
            </w:r>
          </w:p>
        </w:tc>
        <w:tc>
          <w:tcPr>
            <w:tcW w:w="1000" w:type="dxa"/>
            <w:tcBorders>
              <w:top w:val="nil"/>
              <w:bottom w:val="nil"/>
              <w:right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4,0</w:t>
            </w:r>
          </w:p>
        </w:tc>
      </w:tr>
      <w:tr w:rsidR="00B903E0" w:rsidRPr="00071923" w:rsidTr="00A60270">
        <w:trPr>
          <w:trHeight w:val="300"/>
        </w:trPr>
        <w:tc>
          <w:tcPr>
            <w:tcW w:w="4040" w:type="dxa"/>
            <w:tcBorders>
              <w:top w:val="nil"/>
              <w:left w:val="single" w:sz="12" w:space="0" w:color="auto"/>
              <w:bottom w:val="nil"/>
            </w:tcBorders>
            <w:shd w:val="clear" w:color="auto" w:fill="auto"/>
            <w:noWrap/>
            <w:vAlign w:val="center"/>
            <w:hideMark/>
          </w:tcPr>
          <w:p w:rsidR="00B903E0" w:rsidRPr="00071923" w:rsidRDefault="00B903E0" w:rsidP="00A60270">
            <w:pPr>
              <w:spacing w:after="0" w:line="240" w:lineRule="auto"/>
              <w:rPr>
                <w:rFonts w:ascii="Arial" w:eastAsia="Times New Roman" w:hAnsi="Arial" w:cs="Arial"/>
                <w:b/>
                <w:bCs/>
                <w:color w:val="000000"/>
                <w:sz w:val="18"/>
                <w:szCs w:val="18"/>
                <w:lang w:eastAsia="tr-TR"/>
              </w:rPr>
            </w:pPr>
            <w:r w:rsidRPr="00071923">
              <w:rPr>
                <w:rFonts w:ascii="Arial" w:eastAsia="Times New Roman" w:hAnsi="Arial" w:cs="Arial"/>
                <w:b/>
                <w:bCs/>
                <w:color w:val="000000"/>
                <w:sz w:val="18"/>
                <w:szCs w:val="18"/>
                <w:lang w:eastAsia="tr-TR"/>
              </w:rPr>
              <w:t>Harcamalar</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550,5</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635,4</w:t>
            </w:r>
          </w:p>
        </w:tc>
        <w:tc>
          <w:tcPr>
            <w:tcW w:w="951"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679,8</w:t>
            </w:r>
          </w:p>
        </w:tc>
        <w:tc>
          <w:tcPr>
            <w:tcW w:w="992"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738,1</w:t>
            </w:r>
          </w:p>
        </w:tc>
        <w:tc>
          <w:tcPr>
            <w:tcW w:w="1000" w:type="dxa"/>
            <w:tcBorders>
              <w:top w:val="nil"/>
              <w:bottom w:val="nil"/>
              <w:right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799,9</w:t>
            </w:r>
          </w:p>
        </w:tc>
      </w:tr>
      <w:tr w:rsidR="00B903E0" w:rsidRPr="00071923" w:rsidTr="00A60270">
        <w:trPr>
          <w:trHeight w:val="300"/>
        </w:trPr>
        <w:tc>
          <w:tcPr>
            <w:tcW w:w="4040" w:type="dxa"/>
            <w:tcBorders>
              <w:top w:val="nil"/>
              <w:left w:val="single" w:sz="12" w:space="0" w:color="auto"/>
              <w:bottom w:val="nil"/>
            </w:tcBorders>
            <w:shd w:val="clear" w:color="auto" w:fill="auto"/>
            <w:noWrap/>
            <w:vAlign w:val="center"/>
            <w:hideMark/>
          </w:tcPr>
          <w:p w:rsidR="00B903E0" w:rsidRPr="00071923" w:rsidRDefault="00B903E0" w:rsidP="00071923">
            <w:pPr>
              <w:spacing w:after="0" w:line="240" w:lineRule="auto"/>
              <w:ind w:firstLineChars="200" w:firstLine="360"/>
              <w:rPr>
                <w:rFonts w:ascii="Arial" w:eastAsia="Times New Roman" w:hAnsi="Arial" w:cs="Arial"/>
                <w:sz w:val="18"/>
                <w:szCs w:val="18"/>
                <w:lang w:eastAsia="tr-TR"/>
              </w:rPr>
            </w:pPr>
            <w:r w:rsidRPr="00071923">
              <w:rPr>
                <w:rFonts w:ascii="Arial" w:eastAsia="Times New Roman" w:hAnsi="Arial" w:cs="Arial"/>
                <w:sz w:val="18"/>
                <w:szCs w:val="18"/>
                <w:lang w:eastAsia="tr-TR"/>
              </w:rPr>
              <w:t>Cari Harcamalar</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247,8</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283,8</w:t>
            </w:r>
          </w:p>
        </w:tc>
        <w:tc>
          <w:tcPr>
            <w:tcW w:w="951"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310,6</w:t>
            </w:r>
          </w:p>
        </w:tc>
        <w:tc>
          <w:tcPr>
            <w:tcW w:w="992"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334,1</w:t>
            </w:r>
          </w:p>
        </w:tc>
        <w:tc>
          <w:tcPr>
            <w:tcW w:w="1000" w:type="dxa"/>
            <w:tcBorders>
              <w:top w:val="nil"/>
              <w:bottom w:val="nil"/>
              <w:right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363,8</w:t>
            </w:r>
          </w:p>
        </w:tc>
      </w:tr>
      <w:tr w:rsidR="00B903E0" w:rsidRPr="00071923" w:rsidTr="00A60270">
        <w:trPr>
          <w:trHeight w:val="300"/>
        </w:trPr>
        <w:tc>
          <w:tcPr>
            <w:tcW w:w="4040" w:type="dxa"/>
            <w:tcBorders>
              <w:top w:val="nil"/>
              <w:left w:val="single" w:sz="12" w:space="0" w:color="auto"/>
              <w:bottom w:val="nil"/>
            </w:tcBorders>
            <w:shd w:val="clear" w:color="auto" w:fill="auto"/>
            <w:noWrap/>
            <w:vAlign w:val="center"/>
            <w:hideMark/>
          </w:tcPr>
          <w:p w:rsidR="00B903E0" w:rsidRPr="00071923" w:rsidRDefault="00B903E0" w:rsidP="00071923">
            <w:pPr>
              <w:spacing w:after="0" w:line="240" w:lineRule="auto"/>
              <w:ind w:firstLineChars="200" w:firstLine="360"/>
              <w:rPr>
                <w:rFonts w:ascii="Arial" w:eastAsia="Times New Roman" w:hAnsi="Arial" w:cs="Arial"/>
                <w:sz w:val="18"/>
                <w:szCs w:val="18"/>
                <w:lang w:eastAsia="tr-TR"/>
              </w:rPr>
            </w:pPr>
            <w:r w:rsidRPr="00071923">
              <w:rPr>
                <w:rFonts w:ascii="Arial" w:eastAsia="Times New Roman" w:hAnsi="Arial" w:cs="Arial"/>
                <w:sz w:val="18"/>
                <w:szCs w:val="18"/>
                <w:lang w:eastAsia="tr-TR"/>
              </w:rPr>
              <w:t>Yatırım Harcamaları</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49,8</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62,3</w:t>
            </w:r>
          </w:p>
        </w:tc>
        <w:tc>
          <w:tcPr>
            <w:tcW w:w="951"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62,5</w:t>
            </w:r>
          </w:p>
        </w:tc>
        <w:tc>
          <w:tcPr>
            <w:tcW w:w="992"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72,4</w:t>
            </w:r>
          </w:p>
        </w:tc>
        <w:tc>
          <w:tcPr>
            <w:tcW w:w="1000" w:type="dxa"/>
            <w:tcBorders>
              <w:top w:val="nil"/>
              <w:bottom w:val="nil"/>
              <w:right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79,1</w:t>
            </w:r>
          </w:p>
        </w:tc>
      </w:tr>
      <w:tr w:rsidR="00B903E0" w:rsidRPr="00071923" w:rsidTr="00A60270">
        <w:trPr>
          <w:trHeight w:val="300"/>
        </w:trPr>
        <w:tc>
          <w:tcPr>
            <w:tcW w:w="4040" w:type="dxa"/>
            <w:tcBorders>
              <w:top w:val="nil"/>
              <w:left w:val="single" w:sz="12" w:space="0" w:color="auto"/>
              <w:bottom w:val="nil"/>
            </w:tcBorders>
            <w:shd w:val="clear" w:color="auto" w:fill="auto"/>
            <w:noWrap/>
            <w:vAlign w:val="center"/>
            <w:hideMark/>
          </w:tcPr>
          <w:p w:rsidR="00B903E0" w:rsidRPr="00071923" w:rsidRDefault="00B903E0" w:rsidP="00071923">
            <w:pPr>
              <w:spacing w:after="0" w:line="240" w:lineRule="auto"/>
              <w:ind w:firstLineChars="200" w:firstLine="360"/>
              <w:rPr>
                <w:rFonts w:ascii="Arial" w:eastAsia="Times New Roman" w:hAnsi="Arial" w:cs="Arial"/>
                <w:sz w:val="18"/>
                <w:szCs w:val="18"/>
                <w:lang w:eastAsia="tr-TR"/>
              </w:rPr>
            </w:pPr>
            <w:r w:rsidRPr="00071923">
              <w:rPr>
                <w:rFonts w:ascii="Arial" w:eastAsia="Times New Roman" w:hAnsi="Arial" w:cs="Arial"/>
                <w:sz w:val="18"/>
                <w:szCs w:val="18"/>
                <w:lang w:eastAsia="tr-TR"/>
              </w:rPr>
              <w:t>Transfer Harcamaları</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252,9</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289,2</w:t>
            </w:r>
          </w:p>
        </w:tc>
        <w:tc>
          <w:tcPr>
            <w:tcW w:w="951"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306,8</w:t>
            </w:r>
          </w:p>
        </w:tc>
        <w:tc>
          <w:tcPr>
            <w:tcW w:w="992"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331,6</w:t>
            </w:r>
          </w:p>
        </w:tc>
        <w:tc>
          <w:tcPr>
            <w:tcW w:w="1000" w:type="dxa"/>
            <w:tcBorders>
              <w:top w:val="nil"/>
              <w:bottom w:val="nil"/>
              <w:right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357,0</w:t>
            </w:r>
          </w:p>
        </w:tc>
      </w:tr>
      <w:tr w:rsidR="00B903E0" w:rsidRPr="00071923" w:rsidTr="00A60270">
        <w:trPr>
          <w:trHeight w:val="300"/>
        </w:trPr>
        <w:tc>
          <w:tcPr>
            <w:tcW w:w="4040" w:type="dxa"/>
            <w:tcBorders>
              <w:top w:val="nil"/>
              <w:left w:val="single" w:sz="12" w:space="0" w:color="auto"/>
              <w:bottom w:val="nil"/>
            </w:tcBorders>
            <w:shd w:val="clear" w:color="auto" w:fill="auto"/>
            <w:noWrap/>
            <w:vAlign w:val="center"/>
            <w:hideMark/>
          </w:tcPr>
          <w:p w:rsidR="00B903E0" w:rsidRPr="00071923" w:rsidRDefault="00B903E0" w:rsidP="00071923">
            <w:pPr>
              <w:spacing w:after="0" w:line="240" w:lineRule="auto"/>
              <w:ind w:firstLineChars="200" w:firstLine="360"/>
              <w:rPr>
                <w:rFonts w:ascii="Arial" w:eastAsia="Times New Roman" w:hAnsi="Arial" w:cs="Arial"/>
                <w:sz w:val="18"/>
                <w:szCs w:val="18"/>
                <w:lang w:eastAsia="tr-TR"/>
              </w:rPr>
            </w:pPr>
            <w:r w:rsidRPr="00071923">
              <w:rPr>
                <w:rFonts w:ascii="Arial" w:eastAsia="Times New Roman" w:hAnsi="Arial" w:cs="Arial"/>
                <w:sz w:val="18"/>
                <w:szCs w:val="18"/>
                <w:lang w:eastAsia="tr-TR"/>
              </w:rPr>
              <w:t>Stok Değişim Fonu</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0,0</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0,0</w:t>
            </w:r>
          </w:p>
        </w:tc>
        <w:tc>
          <w:tcPr>
            <w:tcW w:w="951"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0,0</w:t>
            </w:r>
          </w:p>
        </w:tc>
        <w:tc>
          <w:tcPr>
            <w:tcW w:w="992"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0,0</w:t>
            </w:r>
          </w:p>
        </w:tc>
        <w:tc>
          <w:tcPr>
            <w:tcW w:w="1000" w:type="dxa"/>
            <w:tcBorders>
              <w:top w:val="nil"/>
              <w:bottom w:val="nil"/>
              <w:right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0,0</w:t>
            </w:r>
          </w:p>
        </w:tc>
      </w:tr>
      <w:tr w:rsidR="00B903E0" w:rsidRPr="00071923" w:rsidTr="00A60270">
        <w:trPr>
          <w:trHeight w:val="300"/>
        </w:trPr>
        <w:tc>
          <w:tcPr>
            <w:tcW w:w="4040" w:type="dxa"/>
            <w:tcBorders>
              <w:top w:val="nil"/>
              <w:left w:val="single" w:sz="12" w:space="0" w:color="auto"/>
              <w:bottom w:val="single" w:sz="4" w:space="0" w:color="auto"/>
            </w:tcBorders>
            <w:shd w:val="clear" w:color="auto" w:fill="auto"/>
            <w:noWrap/>
            <w:vAlign w:val="center"/>
            <w:hideMark/>
          </w:tcPr>
          <w:p w:rsidR="00B903E0" w:rsidRPr="00071923" w:rsidRDefault="00B903E0" w:rsidP="00A60270">
            <w:pPr>
              <w:spacing w:after="0" w:line="240" w:lineRule="auto"/>
              <w:rPr>
                <w:rFonts w:ascii="Arial" w:eastAsia="Times New Roman" w:hAnsi="Arial" w:cs="Arial"/>
                <w:b/>
                <w:bCs/>
                <w:color w:val="000000"/>
                <w:sz w:val="18"/>
                <w:szCs w:val="18"/>
                <w:lang w:eastAsia="tr-TR"/>
              </w:rPr>
            </w:pPr>
            <w:r w:rsidRPr="00071923">
              <w:rPr>
                <w:rFonts w:ascii="Arial" w:eastAsia="Times New Roman" w:hAnsi="Arial" w:cs="Arial"/>
                <w:b/>
                <w:bCs/>
                <w:color w:val="000000"/>
                <w:sz w:val="18"/>
                <w:szCs w:val="18"/>
                <w:lang w:eastAsia="tr-TR"/>
              </w:rPr>
              <w:t>Genel Devlet Dengesi</w:t>
            </w:r>
          </w:p>
        </w:tc>
        <w:tc>
          <w:tcPr>
            <w:tcW w:w="980" w:type="dxa"/>
            <w:tcBorders>
              <w:top w:val="nil"/>
              <w:bottom w:val="single" w:sz="4"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-14,7</w:t>
            </w:r>
          </w:p>
        </w:tc>
        <w:tc>
          <w:tcPr>
            <w:tcW w:w="980" w:type="dxa"/>
            <w:tcBorders>
              <w:top w:val="nil"/>
              <w:bottom w:val="single" w:sz="4"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-15,9</w:t>
            </w:r>
          </w:p>
        </w:tc>
        <w:tc>
          <w:tcPr>
            <w:tcW w:w="951" w:type="dxa"/>
            <w:tcBorders>
              <w:top w:val="nil"/>
              <w:bottom w:val="single" w:sz="4"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-19,5</w:t>
            </w:r>
          </w:p>
        </w:tc>
        <w:tc>
          <w:tcPr>
            <w:tcW w:w="992" w:type="dxa"/>
            <w:tcBorders>
              <w:top w:val="nil"/>
              <w:bottom w:val="single" w:sz="4"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-15,5</w:t>
            </w:r>
          </w:p>
        </w:tc>
        <w:tc>
          <w:tcPr>
            <w:tcW w:w="1000" w:type="dxa"/>
            <w:tcBorders>
              <w:top w:val="nil"/>
              <w:bottom w:val="single" w:sz="4" w:space="0" w:color="auto"/>
              <w:right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-10,6</w:t>
            </w:r>
          </w:p>
        </w:tc>
      </w:tr>
      <w:tr w:rsidR="00B903E0" w:rsidRPr="00071923" w:rsidTr="00A60270">
        <w:trPr>
          <w:trHeight w:val="300"/>
        </w:trPr>
        <w:tc>
          <w:tcPr>
            <w:tcW w:w="4040" w:type="dxa"/>
            <w:tcBorders>
              <w:top w:val="single" w:sz="4" w:space="0" w:color="auto"/>
              <w:left w:val="single" w:sz="12" w:space="0" w:color="auto"/>
              <w:bottom w:val="nil"/>
            </w:tcBorders>
            <w:shd w:val="clear" w:color="auto" w:fill="auto"/>
            <w:noWrap/>
            <w:vAlign w:val="center"/>
            <w:hideMark/>
          </w:tcPr>
          <w:p w:rsidR="00B903E0" w:rsidRPr="00071923" w:rsidRDefault="00B903E0" w:rsidP="00A60270">
            <w:pPr>
              <w:spacing w:after="0" w:line="240" w:lineRule="auto"/>
              <w:rPr>
                <w:rFonts w:ascii="Arial" w:eastAsia="Times New Roman" w:hAnsi="Arial" w:cs="Arial"/>
                <w:b/>
                <w:bCs/>
                <w:color w:val="000000"/>
                <w:sz w:val="18"/>
                <w:szCs w:val="18"/>
                <w:lang w:eastAsia="tr-TR"/>
              </w:rPr>
            </w:pPr>
            <w:r w:rsidRPr="00071923">
              <w:rPr>
                <w:rFonts w:ascii="Arial" w:eastAsia="Times New Roman" w:hAnsi="Arial" w:cs="Arial"/>
                <w:b/>
                <w:bCs/>
                <w:color w:val="000000"/>
                <w:sz w:val="18"/>
                <w:szCs w:val="18"/>
                <w:lang w:eastAsia="tr-TR"/>
              </w:rPr>
              <w:t>Faiz Giderleri</w:t>
            </w:r>
          </w:p>
        </w:tc>
        <w:tc>
          <w:tcPr>
            <w:tcW w:w="980" w:type="dxa"/>
            <w:tcBorders>
              <w:top w:val="single" w:sz="4" w:space="0" w:color="auto"/>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50,0</w:t>
            </w:r>
          </w:p>
        </w:tc>
        <w:tc>
          <w:tcPr>
            <w:tcW w:w="980" w:type="dxa"/>
            <w:tcBorders>
              <w:top w:val="single" w:sz="4" w:space="0" w:color="auto"/>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52,3</w:t>
            </w:r>
          </w:p>
        </w:tc>
        <w:tc>
          <w:tcPr>
            <w:tcW w:w="951" w:type="dxa"/>
            <w:tcBorders>
              <w:top w:val="single" w:sz="4" w:space="0" w:color="auto"/>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53,9</w:t>
            </w:r>
          </w:p>
        </w:tc>
        <w:tc>
          <w:tcPr>
            <w:tcW w:w="992" w:type="dxa"/>
            <w:tcBorders>
              <w:top w:val="single" w:sz="4" w:space="0" w:color="auto"/>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55,1</w:t>
            </w:r>
          </w:p>
        </w:tc>
        <w:tc>
          <w:tcPr>
            <w:tcW w:w="1000" w:type="dxa"/>
            <w:tcBorders>
              <w:top w:val="single" w:sz="4" w:space="0" w:color="auto"/>
              <w:bottom w:val="nil"/>
              <w:right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53,3</w:t>
            </w:r>
          </w:p>
        </w:tc>
      </w:tr>
      <w:tr w:rsidR="00B903E0" w:rsidRPr="00071923" w:rsidTr="00A60270">
        <w:trPr>
          <w:trHeight w:val="300"/>
        </w:trPr>
        <w:tc>
          <w:tcPr>
            <w:tcW w:w="4040" w:type="dxa"/>
            <w:tcBorders>
              <w:top w:val="nil"/>
              <w:left w:val="single" w:sz="12" w:space="0" w:color="auto"/>
              <w:bottom w:val="nil"/>
            </w:tcBorders>
            <w:shd w:val="clear" w:color="auto" w:fill="auto"/>
            <w:noWrap/>
            <w:vAlign w:val="center"/>
            <w:hideMark/>
          </w:tcPr>
          <w:p w:rsidR="00B903E0" w:rsidRPr="00071923" w:rsidRDefault="00B903E0" w:rsidP="00A60270">
            <w:pPr>
              <w:spacing w:after="0" w:line="240" w:lineRule="auto"/>
              <w:rPr>
                <w:rFonts w:ascii="Arial" w:eastAsia="Times New Roman" w:hAnsi="Arial" w:cs="Arial"/>
                <w:b/>
                <w:bCs/>
                <w:color w:val="000000"/>
                <w:sz w:val="18"/>
                <w:szCs w:val="18"/>
                <w:lang w:eastAsia="tr-TR"/>
              </w:rPr>
            </w:pPr>
            <w:r w:rsidRPr="00071923">
              <w:rPr>
                <w:rFonts w:ascii="Arial" w:eastAsia="Times New Roman" w:hAnsi="Arial" w:cs="Arial"/>
                <w:b/>
                <w:bCs/>
                <w:color w:val="000000"/>
                <w:sz w:val="18"/>
                <w:szCs w:val="18"/>
                <w:lang w:eastAsia="tr-TR"/>
              </w:rPr>
              <w:t>Faiz Giderleri Hariç Denge</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35,2</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36,4</w:t>
            </w:r>
          </w:p>
        </w:tc>
        <w:tc>
          <w:tcPr>
            <w:tcW w:w="951"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34,4</w:t>
            </w:r>
          </w:p>
        </w:tc>
        <w:tc>
          <w:tcPr>
            <w:tcW w:w="992"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39,5</w:t>
            </w:r>
          </w:p>
        </w:tc>
        <w:tc>
          <w:tcPr>
            <w:tcW w:w="1000" w:type="dxa"/>
            <w:tcBorders>
              <w:top w:val="nil"/>
              <w:bottom w:val="nil"/>
              <w:right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42,7</w:t>
            </w:r>
          </w:p>
        </w:tc>
      </w:tr>
      <w:tr w:rsidR="00B903E0" w:rsidRPr="00071923" w:rsidTr="00A60270">
        <w:trPr>
          <w:trHeight w:val="300"/>
        </w:trPr>
        <w:tc>
          <w:tcPr>
            <w:tcW w:w="4040" w:type="dxa"/>
            <w:tcBorders>
              <w:top w:val="nil"/>
              <w:left w:val="single" w:sz="12" w:space="0" w:color="auto"/>
              <w:bottom w:val="nil"/>
            </w:tcBorders>
            <w:shd w:val="clear" w:color="auto" w:fill="auto"/>
            <w:noWrap/>
            <w:vAlign w:val="center"/>
            <w:hideMark/>
          </w:tcPr>
          <w:p w:rsidR="00B903E0" w:rsidRPr="00071923" w:rsidRDefault="00B903E0" w:rsidP="00A60270">
            <w:pPr>
              <w:spacing w:after="0" w:line="240" w:lineRule="auto"/>
              <w:rPr>
                <w:rFonts w:ascii="Arial" w:eastAsia="Times New Roman" w:hAnsi="Arial" w:cs="Arial"/>
                <w:b/>
                <w:bCs/>
                <w:color w:val="000000"/>
                <w:sz w:val="18"/>
                <w:szCs w:val="18"/>
                <w:lang w:eastAsia="tr-TR"/>
              </w:rPr>
            </w:pPr>
            <w:r w:rsidRPr="00071923">
              <w:rPr>
                <w:rFonts w:ascii="Arial" w:eastAsia="Times New Roman" w:hAnsi="Arial" w:cs="Arial"/>
                <w:b/>
                <w:bCs/>
                <w:color w:val="000000"/>
                <w:sz w:val="18"/>
                <w:szCs w:val="18"/>
                <w:lang w:eastAsia="tr-TR"/>
              </w:rPr>
              <w:t>Özelleştirme Gelirleri Hariç Denge</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-21,1</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-25,5</w:t>
            </w:r>
          </w:p>
        </w:tc>
        <w:tc>
          <w:tcPr>
            <w:tcW w:w="951"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-29,2</w:t>
            </w:r>
          </w:p>
        </w:tc>
        <w:tc>
          <w:tcPr>
            <w:tcW w:w="992"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-23,1</w:t>
            </w:r>
          </w:p>
        </w:tc>
        <w:tc>
          <w:tcPr>
            <w:tcW w:w="1000" w:type="dxa"/>
            <w:tcBorders>
              <w:top w:val="nil"/>
              <w:bottom w:val="nil"/>
              <w:right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-14,6</w:t>
            </w:r>
          </w:p>
        </w:tc>
      </w:tr>
      <w:tr w:rsidR="00B903E0" w:rsidRPr="00071923" w:rsidTr="00A60270">
        <w:trPr>
          <w:trHeight w:val="300"/>
        </w:trPr>
        <w:tc>
          <w:tcPr>
            <w:tcW w:w="4040" w:type="dxa"/>
            <w:tcBorders>
              <w:top w:val="nil"/>
              <w:left w:val="single" w:sz="12" w:space="0" w:color="auto"/>
              <w:bottom w:val="single" w:sz="12" w:space="0" w:color="auto"/>
            </w:tcBorders>
            <w:shd w:val="clear" w:color="auto" w:fill="auto"/>
            <w:noWrap/>
            <w:vAlign w:val="center"/>
            <w:hideMark/>
          </w:tcPr>
          <w:p w:rsidR="00B903E0" w:rsidRPr="00071923" w:rsidRDefault="00B903E0" w:rsidP="00A60270">
            <w:pPr>
              <w:spacing w:after="0" w:line="240" w:lineRule="auto"/>
              <w:rPr>
                <w:rFonts w:ascii="Arial" w:eastAsia="Times New Roman" w:hAnsi="Arial" w:cs="Arial"/>
                <w:b/>
                <w:bCs/>
                <w:color w:val="000000"/>
                <w:sz w:val="18"/>
                <w:szCs w:val="18"/>
                <w:lang w:eastAsia="tr-TR"/>
              </w:rPr>
            </w:pPr>
            <w:r w:rsidRPr="00071923">
              <w:rPr>
                <w:rFonts w:ascii="Arial" w:eastAsia="Times New Roman" w:hAnsi="Arial" w:cs="Arial"/>
                <w:b/>
                <w:bCs/>
                <w:color w:val="000000"/>
                <w:sz w:val="18"/>
                <w:szCs w:val="18"/>
                <w:lang w:eastAsia="tr-TR"/>
              </w:rPr>
              <w:t>Faiz Gideri ve Özelleştirme Geliri Hariç Denge</w:t>
            </w:r>
          </w:p>
        </w:tc>
        <w:tc>
          <w:tcPr>
            <w:tcW w:w="980" w:type="dxa"/>
            <w:tcBorders>
              <w:top w:val="nil"/>
              <w:bottom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28,8</w:t>
            </w:r>
          </w:p>
        </w:tc>
        <w:tc>
          <w:tcPr>
            <w:tcW w:w="980" w:type="dxa"/>
            <w:tcBorders>
              <w:top w:val="nil"/>
              <w:bottom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26,7</w:t>
            </w:r>
          </w:p>
        </w:tc>
        <w:tc>
          <w:tcPr>
            <w:tcW w:w="951" w:type="dxa"/>
            <w:tcBorders>
              <w:top w:val="nil"/>
              <w:bottom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24,7</w:t>
            </w:r>
          </w:p>
        </w:tc>
        <w:tc>
          <w:tcPr>
            <w:tcW w:w="992" w:type="dxa"/>
            <w:tcBorders>
              <w:top w:val="nil"/>
              <w:bottom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32,0</w:t>
            </w:r>
          </w:p>
        </w:tc>
        <w:tc>
          <w:tcPr>
            <w:tcW w:w="1000" w:type="dxa"/>
            <w:tcBorders>
              <w:top w:val="nil"/>
              <w:bottom w:val="single" w:sz="12" w:space="0" w:color="auto"/>
              <w:right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38,7</w:t>
            </w:r>
          </w:p>
        </w:tc>
      </w:tr>
      <w:tr w:rsidR="00B903E0" w:rsidRPr="00071923" w:rsidTr="00A60270">
        <w:trPr>
          <w:trHeight w:val="300"/>
        </w:trPr>
        <w:tc>
          <w:tcPr>
            <w:tcW w:w="4040" w:type="dxa"/>
            <w:tcBorders>
              <w:top w:val="single" w:sz="12" w:space="0" w:color="auto"/>
              <w:left w:val="single" w:sz="12" w:space="0" w:color="auto"/>
              <w:bottom w:val="single" w:sz="4" w:space="0" w:color="auto"/>
            </w:tcBorders>
            <w:shd w:val="clear" w:color="auto" w:fill="auto"/>
            <w:noWrap/>
            <w:hideMark/>
          </w:tcPr>
          <w:p w:rsidR="00B903E0" w:rsidRPr="00071923" w:rsidRDefault="00B903E0" w:rsidP="00A60270">
            <w:pPr>
              <w:spacing w:after="0" w:line="240" w:lineRule="auto"/>
              <w:rPr>
                <w:rFonts w:ascii="Arial" w:eastAsia="Times New Roman" w:hAnsi="Arial" w:cs="Arial"/>
                <w:sz w:val="18"/>
                <w:szCs w:val="18"/>
                <w:lang w:eastAsia="tr-TR"/>
              </w:rPr>
            </w:pPr>
            <w:r w:rsidRPr="00071923">
              <w:rPr>
                <w:rFonts w:ascii="Arial" w:eastAsia="Times New Roman" w:hAnsi="Arial" w:cs="Arial"/>
                <w:sz w:val="18"/>
                <w:szCs w:val="18"/>
                <w:lang w:eastAsia="tr-TR"/>
              </w:rPr>
              <w:t> </w:t>
            </w:r>
          </w:p>
        </w:tc>
        <w:tc>
          <w:tcPr>
            <w:tcW w:w="4903" w:type="dxa"/>
            <w:gridSpan w:val="5"/>
            <w:tcBorders>
              <w:top w:val="single" w:sz="12" w:space="0" w:color="auto"/>
              <w:bottom w:val="single" w:sz="4" w:space="0" w:color="auto"/>
              <w:right w:val="single" w:sz="12" w:space="0" w:color="auto"/>
            </w:tcBorders>
            <w:shd w:val="clear" w:color="auto" w:fill="auto"/>
            <w:noWrap/>
            <w:vAlign w:val="center"/>
            <w:hideMark/>
          </w:tcPr>
          <w:p w:rsidR="00B903E0" w:rsidRPr="00071923" w:rsidRDefault="00B903E0" w:rsidP="00071923">
            <w:pPr>
              <w:spacing w:after="0" w:line="240" w:lineRule="auto"/>
              <w:jc w:val="center"/>
              <w:rPr>
                <w:rFonts w:ascii="Arial" w:eastAsia="Times New Roman" w:hAnsi="Arial" w:cs="Arial"/>
                <w:sz w:val="18"/>
                <w:szCs w:val="18"/>
                <w:lang w:eastAsia="tr-TR"/>
              </w:rPr>
            </w:pPr>
            <w:r w:rsidRPr="00071923">
              <w:rPr>
                <w:rFonts w:ascii="Arial" w:hAnsi="Arial" w:cs="Arial"/>
                <w:sz w:val="18"/>
                <w:szCs w:val="18"/>
              </w:rPr>
              <w:t>(</w:t>
            </w:r>
            <w:proofErr w:type="spellStart"/>
            <w:r w:rsidRPr="00071923">
              <w:rPr>
                <w:rFonts w:ascii="Arial" w:hAnsi="Arial" w:cs="Arial"/>
                <w:sz w:val="18"/>
                <w:szCs w:val="18"/>
              </w:rPr>
              <w:t>GSYH’ya</w:t>
            </w:r>
            <w:proofErr w:type="spellEnd"/>
            <w:r w:rsidRPr="00071923">
              <w:rPr>
                <w:rFonts w:ascii="Arial" w:hAnsi="Arial" w:cs="Arial"/>
                <w:sz w:val="18"/>
                <w:szCs w:val="18"/>
              </w:rPr>
              <w:t xml:space="preserve"> Oran, Yüzde)</w:t>
            </w:r>
          </w:p>
        </w:tc>
      </w:tr>
      <w:tr w:rsidR="00B903E0" w:rsidRPr="00071923" w:rsidTr="00A60270">
        <w:trPr>
          <w:trHeight w:val="300"/>
        </w:trPr>
        <w:tc>
          <w:tcPr>
            <w:tcW w:w="4040" w:type="dxa"/>
            <w:tcBorders>
              <w:left w:val="single" w:sz="12" w:space="0" w:color="auto"/>
              <w:bottom w:val="nil"/>
            </w:tcBorders>
            <w:shd w:val="clear" w:color="auto" w:fill="auto"/>
            <w:noWrap/>
            <w:vAlign w:val="center"/>
            <w:hideMark/>
          </w:tcPr>
          <w:p w:rsidR="00B903E0" w:rsidRPr="00071923" w:rsidRDefault="00B903E0" w:rsidP="00A60270">
            <w:pPr>
              <w:spacing w:after="0" w:line="240" w:lineRule="auto"/>
              <w:rPr>
                <w:rFonts w:ascii="Arial" w:eastAsia="Times New Roman" w:hAnsi="Arial" w:cs="Arial"/>
                <w:b/>
                <w:bCs/>
                <w:color w:val="000000"/>
                <w:sz w:val="18"/>
                <w:szCs w:val="18"/>
                <w:lang w:eastAsia="tr-TR"/>
              </w:rPr>
            </w:pPr>
            <w:r w:rsidRPr="00071923">
              <w:rPr>
                <w:rFonts w:ascii="Arial" w:eastAsia="Times New Roman" w:hAnsi="Arial" w:cs="Arial"/>
                <w:b/>
                <w:bCs/>
                <w:color w:val="000000"/>
                <w:sz w:val="18"/>
                <w:szCs w:val="18"/>
                <w:lang w:eastAsia="tr-TR"/>
              </w:rPr>
              <w:t>Gelirler</w:t>
            </w:r>
          </w:p>
        </w:tc>
        <w:tc>
          <w:tcPr>
            <w:tcW w:w="980" w:type="dxa"/>
            <w:tcBorders>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37,8</w:t>
            </w:r>
          </w:p>
        </w:tc>
        <w:tc>
          <w:tcPr>
            <w:tcW w:w="980" w:type="dxa"/>
            <w:tcBorders>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39,7</w:t>
            </w:r>
          </w:p>
        </w:tc>
        <w:tc>
          <w:tcPr>
            <w:tcW w:w="951" w:type="dxa"/>
            <w:tcBorders>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38,4</w:t>
            </w:r>
          </w:p>
        </w:tc>
        <w:tc>
          <w:tcPr>
            <w:tcW w:w="992" w:type="dxa"/>
            <w:tcBorders>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38,1</w:t>
            </w:r>
          </w:p>
        </w:tc>
        <w:tc>
          <w:tcPr>
            <w:tcW w:w="1000" w:type="dxa"/>
            <w:tcBorders>
              <w:bottom w:val="nil"/>
              <w:right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37,7</w:t>
            </w:r>
          </w:p>
        </w:tc>
      </w:tr>
      <w:tr w:rsidR="00B903E0" w:rsidRPr="00071923" w:rsidTr="00A60270">
        <w:trPr>
          <w:trHeight w:val="300"/>
        </w:trPr>
        <w:tc>
          <w:tcPr>
            <w:tcW w:w="4040" w:type="dxa"/>
            <w:tcBorders>
              <w:top w:val="nil"/>
              <w:left w:val="single" w:sz="12" w:space="0" w:color="auto"/>
              <w:bottom w:val="nil"/>
            </w:tcBorders>
            <w:shd w:val="clear" w:color="auto" w:fill="auto"/>
            <w:noWrap/>
            <w:vAlign w:val="center"/>
            <w:hideMark/>
          </w:tcPr>
          <w:p w:rsidR="00B903E0" w:rsidRPr="00071923" w:rsidRDefault="00B903E0" w:rsidP="00071923">
            <w:pPr>
              <w:spacing w:after="0" w:line="240" w:lineRule="auto"/>
              <w:ind w:firstLineChars="200" w:firstLine="360"/>
              <w:rPr>
                <w:rFonts w:ascii="Arial" w:eastAsia="Times New Roman" w:hAnsi="Arial" w:cs="Arial"/>
                <w:sz w:val="18"/>
                <w:szCs w:val="18"/>
                <w:lang w:eastAsia="tr-TR"/>
              </w:rPr>
            </w:pPr>
            <w:r w:rsidRPr="00071923">
              <w:rPr>
                <w:rFonts w:ascii="Arial" w:eastAsia="Times New Roman" w:hAnsi="Arial" w:cs="Arial"/>
                <w:sz w:val="18"/>
                <w:szCs w:val="18"/>
                <w:lang w:eastAsia="tr-TR"/>
              </w:rPr>
              <w:t>Vergiler</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20,2</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21,4</w:t>
            </w:r>
          </w:p>
        </w:tc>
        <w:tc>
          <w:tcPr>
            <w:tcW w:w="951"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20,9</w:t>
            </w:r>
          </w:p>
        </w:tc>
        <w:tc>
          <w:tcPr>
            <w:tcW w:w="992"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20,8</w:t>
            </w:r>
          </w:p>
        </w:tc>
        <w:tc>
          <w:tcPr>
            <w:tcW w:w="1000" w:type="dxa"/>
            <w:tcBorders>
              <w:top w:val="nil"/>
              <w:bottom w:val="nil"/>
              <w:right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20,5</w:t>
            </w:r>
          </w:p>
        </w:tc>
      </w:tr>
      <w:tr w:rsidR="00B903E0" w:rsidRPr="00071923" w:rsidTr="00A60270">
        <w:trPr>
          <w:trHeight w:val="300"/>
        </w:trPr>
        <w:tc>
          <w:tcPr>
            <w:tcW w:w="4040" w:type="dxa"/>
            <w:tcBorders>
              <w:top w:val="nil"/>
              <w:left w:val="single" w:sz="12" w:space="0" w:color="auto"/>
              <w:bottom w:val="nil"/>
            </w:tcBorders>
            <w:shd w:val="clear" w:color="auto" w:fill="auto"/>
            <w:noWrap/>
            <w:vAlign w:val="center"/>
            <w:hideMark/>
          </w:tcPr>
          <w:p w:rsidR="00B903E0" w:rsidRPr="00071923" w:rsidRDefault="00B903E0" w:rsidP="00071923">
            <w:pPr>
              <w:spacing w:after="0" w:line="240" w:lineRule="auto"/>
              <w:ind w:firstLineChars="200" w:firstLine="360"/>
              <w:rPr>
                <w:rFonts w:ascii="Arial" w:eastAsia="Times New Roman" w:hAnsi="Arial" w:cs="Arial"/>
                <w:sz w:val="18"/>
                <w:szCs w:val="18"/>
                <w:lang w:eastAsia="tr-TR"/>
              </w:rPr>
            </w:pPr>
            <w:r w:rsidRPr="00071923">
              <w:rPr>
                <w:rFonts w:ascii="Arial" w:eastAsia="Times New Roman" w:hAnsi="Arial" w:cs="Arial"/>
                <w:sz w:val="18"/>
                <w:szCs w:val="18"/>
                <w:lang w:eastAsia="tr-TR"/>
              </w:rPr>
              <w:t>Vergi Dışı Normal Gelirler</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2,1</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1,9</w:t>
            </w:r>
          </w:p>
        </w:tc>
        <w:tc>
          <w:tcPr>
            <w:tcW w:w="951"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1,8</w:t>
            </w:r>
          </w:p>
        </w:tc>
        <w:tc>
          <w:tcPr>
            <w:tcW w:w="992"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1,8</w:t>
            </w:r>
          </w:p>
        </w:tc>
        <w:tc>
          <w:tcPr>
            <w:tcW w:w="1000" w:type="dxa"/>
            <w:tcBorders>
              <w:top w:val="nil"/>
              <w:bottom w:val="nil"/>
              <w:right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2,0</w:t>
            </w:r>
          </w:p>
        </w:tc>
      </w:tr>
      <w:tr w:rsidR="00B903E0" w:rsidRPr="00071923" w:rsidTr="00A60270">
        <w:trPr>
          <w:trHeight w:val="300"/>
        </w:trPr>
        <w:tc>
          <w:tcPr>
            <w:tcW w:w="4040" w:type="dxa"/>
            <w:tcBorders>
              <w:top w:val="nil"/>
              <w:left w:val="single" w:sz="12" w:space="0" w:color="auto"/>
              <w:bottom w:val="nil"/>
            </w:tcBorders>
            <w:shd w:val="clear" w:color="auto" w:fill="auto"/>
            <w:noWrap/>
            <w:vAlign w:val="center"/>
            <w:hideMark/>
          </w:tcPr>
          <w:p w:rsidR="00B903E0" w:rsidRPr="00071923" w:rsidRDefault="00B903E0" w:rsidP="00071923">
            <w:pPr>
              <w:spacing w:after="0" w:line="240" w:lineRule="auto"/>
              <w:ind w:firstLineChars="200" w:firstLine="360"/>
              <w:rPr>
                <w:rFonts w:ascii="Arial" w:eastAsia="Times New Roman" w:hAnsi="Arial" w:cs="Arial"/>
                <w:sz w:val="18"/>
                <w:szCs w:val="18"/>
                <w:lang w:eastAsia="tr-TR"/>
              </w:rPr>
            </w:pPr>
            <w:r w:rsidRPr="00071923">
              <w:rPr>
                <w:rFonts w:ascii="Arial" w:eastAsia="Times New Roman" w:hAnsi="Arial" w:cs="Arial"/>
                <w:sz w:val="18"/>
                <w:szCs w:val="18"/>
                <w:lang w:eastAsia="tr-TR"/>
              </w:rPr>
              <w:t>Faktör Gelirleri</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5,7</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5,7</w:t>
            </w:r>
          </w:p>
        </w:tc>
        <w:tc>
          <w:tcPr>
            <w:tcW w:w="951"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5,0</w:t>
            </w:r>
          </w:p>
        </w:tc>
        <w:tc>
          <w:tcPr>
            <w:tcW w:w="992"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4,9</w:t>
            </w:r>
          </w:p>
        </w:tc>
        <w:tc>
          <w:tcPr>
            <w:tcW w:w="1000" w:type="dxa"/>
            <w:tcBorders>
              <w:top w:val="nil"/>
              <w:bottom w:val="nil"/>
              <w:right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4,8</w:t>
            </w:r>
          </w:p>
        </w:tc>
      </w:tr>
      <w:tr w:rsidR="00B903E0" w:rsidRPr="00071923" w:rsidTr="00A60270">
        <w:trPr>
          <w:trHeight w:val="300"/>
        </w:trPr>
        <w:tc>
          <w:tcPr>
            <w:tcW w:w="4040" w:type="dxa"/>
            <w:tcBorders>
              <w:top w:val="nil"/>
              <w:left w:val="single" w:sz="12" w:space="0" w:color="auto"/>
              <w:bottom w:val="nil"/>
            </w:tcBorders>
            <w:shd w:val="clear" w:color="auto" w:fill="auto"/>
            <w:noWrap/>
            <w:vAlign w:val="center"/>
            <w:hideMark/>
          </w:tcPr>
          <w:p w:rsidR="00B903E0" w:rsidRPr="00071923" w:rsidRDefault="00B903E0" w:rsidP="00071923">
            <w:pPr>
              <w:spacing w:after="0" w:line="240" w:lineRule="auto"/>
              <w:ind w:firstLineChars="200" w:firstLine="360"/>
              <w:rPr>
                <w:rFonts w:ascii="Arial" w:eastAsia="Times New Roman" w:hAnsi="Arial" w:cs="Arial"/>
                <w:sz w:val="18"/>
                <w:szCs w:val="18"/>
                <w:lang w:eastAsia="tr-TR"/>
              </w:rPr>
            </w:pPr>
            <w:r w:rsidRPr="00071923">
              <w:rPr>
                <w:rFonts w:ascii="Arial" w:eastAsia="Times New Roman" w:hAnsi="Arial" w:cs="Arial"/>
                <w:sz w:val="18"/>
                <w:szCs w:val="18"/>
                <w:lang w:eastAsia="tr-TR"/>
              </w:rPr>
              <w:t>Sosyal Fonlar</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9,4</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10,1</w:t>
            </w:r>
          </w:p>
        </w:tc>
        <w:tc>
          <w:tcPr>
            <w:tcW w:w="951"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10,2</w:t>
            </w:r>
          </w:p>
        </w:tc>
        <w:tc>
          <w:tcPr>
            <w:tcW w:w="992"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10,2</w:t>
            </w:r>
          </w:p>
        </w:tc>
        <w:tc>
          <w:tcPr>
            <w:tcW w:w="1000" w:type="dxa"/>
            <w:tcBorders>
              <w:top w:val="nil"/>
              <w:bottom w:val="nil"/>
              <w:right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10,2</w:t>
            </w:r>
          </w:p>
        </w:tc>
      </w:tr>
      <w:tr w:rsidR="00B903E0" w:rsidRPr="00071923" w:rsidTr="00A60270">
        <w:trPr>
          <w:trHeight w:val="300"/>
        </w:trPr>
        <w:tc>
          <w:tcPr>
            <w:tcW w:w="4040" w:type="dxa"/>
            <w:tcBorders>
              <w:top w:val="nil"/>
              <w:left w:val="single" w:sz="12" w:space="0" w:color="auto"/>
              <w:bottom w:val="nil"/>
            </w:tcBorders>
            <w:shd w:val="clear" w:color="auto" w:fill="auto"/>
            <w:noWrap/>
            <w:vAlign w:val="center"/>
            <w:hideMark/>
          </w:tcPr>
          <w:p w:rsidR="00B903E0" w:rsidRPr="00071923" w:rsidRDefault="00B903E0" w:rsidP="00071923">
            <w:pPr>
              <w:spacing w:after="0" w:line="240" w:lineRule="auto"/>
              <w:ind w:firstLineChars="200" w:firstLine="360"/>
              <w:rPr>
                <w:rFonts w:ascii="Arial" w:eastAsia="Times New Roman" w:hAnsi="Arial" w:cs="Arial"/>
                <w:sz w:val="18"/>
                <w:szCs w:val="18"/>
                <w:lang w:eastAsia="tr-TR"/>
              </w:rPr>
            </w:pPr>
            <w:r w:rsidRPr="00071923">
              <w:rPr>
                <w:rFonts w:ascii="Arial" w:eastAsia="Times New Roman" w:hAnsi="Arial" w:cs="Arial"/>
                <w:sz w:val="18"/>
                <w:szCs w:val="18"/>
                <w:lang w:eastAsia="tr-TR"/>
              </w:rPr>
              <w:t>Özelleştirme Gelirleri</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0,5</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0,6</w:t>
            </w:r>
          </w:p>
        </w:tc>
        <w:tc>
          <w:tcPr>
            <w:tcW w:w="951"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0,6</w:t>
            </w:r>
          </w:p>
        </w:tc>
        <w:tc>
          <w:tcPr>
            <w:tcW w:w="992"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0,4</w:t>
            </w:r>
          </w:p>
        </w:tc>
        <w:tc>
          <w:tcPr>
            <w:tcW w:w="1000" w:type="dxa"/>
            <w:tcBorders>
              <w:top w:val="nil"/>
              <w:bottom w:val="nil"/>
              <w:right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0,2</w:t>
            </w:r>
          </w:p>
        </w:tc>
      </w:tr>
      <w:tr w:rsidR="00B903E0" w:rsidRPr="00071923" w:rsidTr="00A60270">
        <w:trPr>
          <w:trHeight w:val="300"/>
        </w:trPr>
        <w:tc>
          <w:tcPr>
            <w:tcW w:w="4040" w:type="dxa"/>
            <w:tcBorders>
              <w:top w:val="nil"/>
              <w:left w:val="single" w:sz="12" w:space="0" w:color="auto"/>
              <w:bottom w:val="nil"/>
            </w:tcBorders>
            <w:shd w:val="clear" w:color="auto" w:fill="auto"/>
            <w:noWrap/>
            <w:vAlign w:val="center"/>
            <w:hideMark/>
          </w:tcPr>
          <w:p w:rsidR="00B903E0" w:rsidRPr="00071923" w:rsidRDefault="00B903E0" w:rsidP="00A60270">
            <w:pPr>
              <w:spacing w:after="0" w:line="240" w:lineRule="auto"/>
              <w:rPr>
                <w:rFonts w:ascii="Arial" w:eastAsia="Times New Roman" w:hAnsi="Arial" w:cs="Arial"/>
                <w:b/>
                <w:bCs/>
                <w:color w:val="000000"/>
                <w:sz w:val="18"/>
                <w:szCs w:val="18"/>
                <w:lang w:eastAsia="tr-TR"/>
              </w:rPr>
            </w:pPr>
            <w:r w:rsidRPr="00071923">
              <w:rPr>
                <w:rFonts w:ascii="Arial" w:eastAsia="Times New Roman" w:hAnsi="Arial" w:cs="Arial"/>
                <w:b/>
                <w:bCs/>
                <w:color w:val="000000"/>
                <w:sz w:val="18"/>
                <w:szCs w:val="18"/>
                <w:lang w:eastAsia="tr-TR"/>
              </w:rPr>
              <w:t>Harcamalar</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38,9</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40,8</w:t>
            </w:r>
          </w:p>
        </w:tc>
        <w:tc>
          <w:tcPr>
            <w:tcW w:w="951"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39,6</w:t>
            </w:r>
          </w:p>
        </w:tc>
        <w:tc>
          <w:tcPr>
            <w:tcW w:w="992"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39,0</w:t>
            </w:r>
          </w:p>
        </w:tc>
        <w:tc>
          <w:tcPr>
            <w:tcW w:w="1000" w:type="dxa"/>
            <w:tcBorders>
              <w:top w:val="nil"/>
              <w:bottom w:val="nil"/>
              <w:right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38,2</w:t>
            </w:r>
          </w:p>
        </w:tc>
      </w:tr>
      <w:tr w:rsidR="00B903E0" w:rsidRPr="00071923" w:rsidTr="00A60270">
        <w:trPr>
          <w:trHeight w:val="300"/>
        </w:trPr>
        <w:tc>
          <w:tcPr>
            <w:tcW w:w="4040" w:type="dxa"/>
            <w:tcBorders>
              <w:top w:val="nil"/>
              <w:left w:val="single" w:sz="12" w:space="0" w:color="auto"/>
              <w:bottom w:val="nil"/>
            </w:tcBorders>
            <w:shd w:val="clear" w:color="auto" w:fill="auto"/>
            <w:noWrap/>
            <w:vAlign w:val="center"/>
            <w:hideMark/>
          </w:tcPr>
          <w:p w:rsidR="00B903E0" w:rsidRPr="00071923" w:rsidRDefault="00B903E0" w:rsidP="00071923">
            <w:pPr>
              <w:spacing w:after="0" w:line="240" w:lineRule="auto"/>
              <w:ind w:firstLineChars="200" w:firstLine="360"/>
              <w:rPr>
                <w:rFonts w:ascii="Arial" w:eastAsia="Times New Roman" w:hAnsi="Arial" w:cs="Arial"/>
                <w:sz w:val="18"/>
                <w:szCs w:val="18"/>
                <w:lang w:eastAsia="tr-TR"/>
              </w:rPr>
            </w:pPr>
            <w:r w:rsidRPr="00071923">
              <w:rPr>
                <w:rFonts w:ascii="Arial" w:eastAsia="Times New Roman" w:hAnsi="Arial" w:cs="Arial"/>
                <w:sz w:val="18"/>
                <w:szCs w:val="18"/>
                <w:lang w:eastAsia="tr-TR"/>
              </w:rPr>
              <w:t>Cari Harcamalar</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17,5</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18,2</w:t>
            </w:r>
          </w:p>
        </w:tc>
        <w:tc>
          <w:tcPr>
            <w:tcW w:w="951"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18,1</w:t>
            </w:r>
          </w:p>
        </w:tc>
        <w:tc>
          <w:tcPr>
            <w:tcW w:w="992"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17,6</w:t>
            </w:r>
          </w:p>
        </w:tc>
        <w:tc>
          <w:tcPr>
            <w:tcW w:w="1000" w:type="dxa"/>
            <w:tcBorders>
              <w:top w:val="nil"/>
              <w:bottom w:val="nil"/>
              <w:right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17,4</w:t>
            </w:r>
          </w:p>
        </w:tc>
      </w:tr>
      <w:tr w:rsidR="00B903E0" w:rsidRPr="00071923" w:rsidTr="00A60270">
        <w:trPr>
          <w:trHeight w:val="300"/>
        </w:trPr>
        <w:tc>
          <w:tcPr>
            <w:tcW w:w="4040" w:type="dxa"/>
            <w:tcBorders>
              <w:top w:val="nil"/>
              <w:left w:val="single" w:sz="12" w:space="0" w:color="auto"/>
              <w:bottom w:val="nil"/>
            </w:tcBorders>
            <w:shd w:val="clear" w:color="auto" w:fill="auto"/>
            <w:noWrap/>
            <w:vAlign w:val="center"/>
            <w:hideMark/>
          </w:tcPr>
          <w:p w:rsidR="00B903E0" w:rsidRPr="00071923" w:rsidRDefault="00B903E0" w:rsidP="00071923">
            <w:pPr>
              <w:spacing w:after="0" w:line="240" w:lineRule="auto"/>
              <w:ind w:firstLineChars="200" w:firstLine="360"/>
              <w:rPr>
                <w:rFonts w:ascii="Arial" w:eastAsia="Times New Roman" w:hAnsi="Arial" w:cs="Arial"/>
                <w:sz w:val="18"/>
                <w:szCs w:val="18"/>
                <w:lang w:eastAsia="tr-TR"/>
              </w:rPr>
            </w:pPr>
            <w:r w:rsidRPr="00071923">
              <w:rPr>
                <w:rFonts w:ascii="Arial" w:eastAsia="Times New Roman" w:hAnsi="Arial" w:cs="Arial"/>
                <w:sz w:val="18"/>
                <w:szCs w:val="18"/>
                <w:lang w:eastAsia="tr-TR"/>
              </w:rPr>
              <w:t>Yatırım Harcamaları</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3,5</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4,0</w:t>
            </w:r>
          </w:p>
        </w:tc>
        <w:tc>
          <w:tcPr>
            <w:tcW w:w="951"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3,6</w:t>
            </w:r>
          </w:p>
        </w:tc>
        <w:tc>
          <w:tcPr>
            <w:tcW w:w="992"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3,8</w:t>
            </w:r>
          </w:p>
        </w:tc>
        <w:tc>
          <w:tcPr>
            <w:tcW w:w="1000" w:type="dxa"/>
            <w:tcBorders>
              <w:top w:val="nil"/>
              <w:bottom w:val="nil"/>
              <w:right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3,8</w:t>
            </w:r>
          </w:p>
        </w:tc>
      </w:tr>
      <w:tr w:rsidR="00B903E0" w:rsidRPr="00071923" w:rsidTr="00A60270">
        <w:trPr>
          <w:trHeight w:val="300"/>
        </w:trPr>
        <w:tc>
          <w:tcPr>
            <w:tcW w:w="4040" w:type="dxa"/>
            <w:tcBorders>
              <w:top w:val="nil"/>
              <w:left w:val="single" w:sz="12" w:space="0" w:color="auto"/>
              <w:bottom w:val="nil"/>
            </w:tcBorders>
            <w:shd w:val="clear" w:color="auto" w:fill="auto"/>
            <w:noWrap/>
            <w:vAlign w:val="center"/>
            <w:hideMark/>
          </w:tcPr>
          <w:p w:rsidR="00B903E0" w:rsidRPr="00071923" w:rsidRDefault="00B903E0" w:rsidP="00071923">
            <w:pPr>
              <w:spacing w:after="0" w:line="240" w:lineRule="auto"/>
              <w:ind w:firstLineChars="200" w:firstLine="360"/>
              <w:rPr>
                <w:rFonts w:ascii="Arial" w:eastAsia="Times New Roman" w:hAnsi="Arial" w:cs="Arial"/>
                <w:sz w:val="18"/>
                <w:szCs w:val="18"/>
                <w:lang w:eastAsia="tr-TR"/>
              </w:rPr>
            </w:pPr>
            <w:r w:rsidRPr="00071923">
              <w:rPr>
                <w:rFonts w:ascii="Arial" w:eastAsia="Times New Roman" w:hAnsi="Arial" w:cs="Arial"/>
                <w:sz w:val="18"/>
                <w:szCs w:val="18"/>
                <w:lang w:eastAsia="tr-TR"/>
              </w:rPr>
              <w:t>Transfer Harcamaları</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17,9</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18,5</w:t>
            </w:r>
          </w:p>
        </w:tc>
        <w:tc>
          <w:tcPr>
            <w:tcW w:w="951"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17,8</w:t>
            </w:r>
          </w:p>
        </w:tc>
        <w:tc>
          <w:tcPr>
            <w:tcW w:w="992"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17,5</w:t>
            </w:r>
          </w:p>
        </w:tc>
        <w:tc>
          <w:tcPr>
            <w:tcW w:w="1000" w:type="dxa"/>
            <w:tcBorders>
              <w:top w:val="nil"/>
              <w:bottom w:val="nil"/>
              <w:right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17,0</w:t>
            </w:r>
          </w:p>
        </w:tc>
      </w:tr>
      <w:tr w:rsidR="00B903E0" w:rsidRPr="00071923" w:rsidTr="00A60270">
        <w:trPr>
          <w:trHeight w:val="300"/>
        </w:trPr>
        <w:tc>
          <w:tcPr>
            <w:tcW w:w="4040" w:type="dxa"/>
            <w:tcBorders>
              <w:top w:val="nil"/>
              <w:left w:val="single" w:sz="12" w:space="0" w:color="auto"/>
              <w:bottom w:val="nil"/>
            </w:tcBorders>
            <w:shd w:val="clear" w:color="auto" w:fill="auto"/>
            <w:noWrap/>
            <w:vAlign w:val="center"/>
            <w:hideMark/>
          </w:tcPr>
          <w:p w:rsidR="00B903E0" w:rsidRPr="00071923" w:rsidRDefault="00B903E0" w:rsidP="00071923">
            <w:pPr>
              <w:spacing w:after="0" w:line="240" w:lineRule="auto"/>
              <w:ind w:firstLineChars="200" w:firstLine="360"/>
              <w:rPr>
                <w:rFonts w:ascii="Arial" w:eastAsia="Times New Roman" w:hAnsi="Arial" w:cs="Arial"/>
                <w:sz w:val="18"/>
                <w:szCs w:val="18"/>
                <w:lang w:eastAsia="tr-TR"/>
              </w:rPr>
            </w:pPr>
            <w:r w:rsidRPr="00071923">
              <w:rPr>
                <w:rFonts w:ascii="Arial" w:eastAsia="Times New Roman" w:hAnsi="Arial" w:cs="Arial"/>
                <w:sz w:val="18"/>
                <w:szCs w:val="18"/>
                <w:lang w:eastAsia="tr-TR"/>
              </w:rPr>
              <w:t>Stok Değişim Fonu</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0,0</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0,0</w:t>
            </w:r>
          </w:p>
        </w:tc>
        <w:tc>
          <w:tcPr>
            <w:tcW w:w="951"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0,0</w:t>
            </w:r>
          </w:p>
        </w:tc>
        <w:tc>
          <w:tcPr>
            <w:tcW w:w="992"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0,0</w:t>
            </w:r>
          </w:p>
        </w:tc>
        <w:tc>
          <w:tcPr>
            <w:tcW w:w="1000" w:type="dxa"/>
            <w:tcBorders>
              <w:top w:val="nil"/>
              <w:bottom w:val="nil"/>
              <w:right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0,0</w:t>
            </w:r>
          </w:p>
        </w:tc>
      </w:tr>
      <w:tr w:rsidR="00B903E0" w:rsidRPr="00071923" w:rsidTr="00A60270">
        <w:trPr>
          <w:trHeight w:val="300"/>
        </w:trPr>
        <w:tc>
          <w:tcPr>
            <w:tcW w:w="4040" w:type="dxa"/>
            <w:tcBorders>
              <w:top w:val="nil"/>
              <w:left w:val="single" w:sz="12" w:space="0" w:color="auto"/>
              <w:bottom w:val="single" w:sz="4" w:space="0" w:color="auto"/>
            </w:tcBorders>
            <w:shd w:val="clear" w:color="auto" w:fill="auto"/>
            <w:noWrap/>
            <w:vAlign w:val="center"/>
            <w:hideMark/>
          </w:tcPr>
          <w:p w:rsidR="00B903E0" w:rsidRPr="00071923" w:rsidRDefault="00B903E0" w:rsidP="00A60270">
            <w:pPr>
              <w:spacing w:after="0" w:line="240" w:lineRule="auto"/>
              <w:rPr>
                <w:rFonts w:ascii="Arial" w:eastAsia="Times New Roman" w:hAnsi="Arial" w:cs="Arial"/>
                <w:b/>
                <w:bCs/>
                <w:color w:val="000000"/>
                <w:sz w:val="18"/>
                <w:szCs w:val="18"/>
                <w:lang w:eastAsia="tr-TR"/>
              </w:rPr>
            </w:pPr>
            <w:r w:rsidRPr="00071923">
              <w:rPr>
                <w:rFonts w:ascii="Arial" w:eastAsia="Times New Roman" w:hAnsi="Arial" w:cs="Arial"/>
                <w:b/>
                <w:bCs/>
                <w:color w:val="000000"/>
                <w:sz w:val="18"/>
                <w:szCs w:val="18"/>
                <w:lang w:eastAsia="tr-TR"/>
              </w:rPr>
              <w:t>Genel Devlet Dengesi</w:t>
            </w:r>
          </w:p>
        </w:tc>
        <w:tc>
          <w:tcPr>
            <w:tcW w:w="980" w:type="dxa"/>
            <w:tcBorders>
              <w:top w:val="nil"/>
              <w:bottom w:val="single" w:sz="4"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-1,0</w:t>
            </w:r>
          </w:p>
        </w:tc>
        <w:tc>
          <w:tcPr>
            <w:tcW w:w="980" w:type="dxa"/>
            <w:tcBorders>
              <w:top w:val="nil"/>
              <w:bottom w:val="single" w:sz="4"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-1,0</w:t>
            </w:r>
          </w:p>
        </w:tc>
        <w:tc>
          <w:tcPr>
            <w:tcW w:w="951" w:type="dxa"/>
            <w:tcBorders>
              <w:top w:val="nil"/>
              <w:bottom w:val="single" w:sz="4"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-1,1</w:t>
            </w:r>
          </w:p>
        </w:tc>
        <w:tc>
          <w:tcPr>
            <w:tcW w:w="992" w:type="dxa"/>
            <w:tcBorders>
              <w:top w:val="nil"/>
              <w:bottom w:val="single" w:sz="4"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-0,8</w:t>
            </w:r>
          </w:p>
        </w:tc>
        <w:tc>
          <w:tcPr>
            <w:tcW w:w="1000" w:type="dxa"/>
            <w:tcBorders>
              <w:top w:val="nil"/>
              <w:bottom w:val="single" w:sz="4" w:space="0" w:color="auto"/>
              <w:right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-0,5</w:t>
            </w:r>
          </w:p>
        </w:tc>
      </w:tr>
      <w:tr w:rsidR="00B903E0" w:rsidRPr="00071923" w:rsidTr="00A60270">
        <w:trPr>
          <w:trHeight w:val="300"/>
        </w:trPr>
        <w:tc>
          <w:tcPr>
            <w:tcW w:w="4040" w:type="dxa"/>
            <w:tcBorders>
              <w:top w:val="single" w:sz="4" w:space="0" w:color="auto"/>
              <w:left w:val="single" w:sz="12" w:space="0" w:color="auto"/>
              <w:bottom w:val="nil"/>
            </w:tcBorders>
            <w:shd w:val="clear" w:color="auto" w:fill="auto"/>
            <w:noWrap/>
            <w:vAlign w:val="center"/>
            <w:hideMark/>
          </w:tcPr>
          <w:p w:rsidR="00B903E0" w:rsidRPr="00071923" w:rsidRDefault="00B903E0" w:rsidP="00A60270">
            <w:pPr>
              <w:spacing w:after="0" w:line="240" w:lineRule="auto"/>
              <w:rPr>
                <w:rFonts w:ascii="Arial" w:eastAsia="Times New Roman" w:hAnsi="Arial" w:cs="Arial"/>
                <w:b/>
                <w:bCs/>
                <w:color w:val="000000"/>
                <w:sz w:val="18"/>
                <w:szCs w:val="18"/>
                <w:lang w:eastAsia="tr-TR"/>
              </w:rPr>
            </w:pPr>
            <w:r w:rsidRPr="00071923">
              <w:rPr>
                <w:rFonts w:ascii="Arial" w:eastAsia="Times New Roman" w:hAnsi="Arial" w:cs="Arial"/>
                <w:b/>
                <w:bCs/>
                <w:color w:val="000000"/>
                <w:sz w:val="18"/>
                <w:szCs w:val="18"/>
                <w:lang w:eastAsia="tr-TR"/>
              </w:rPr>
              <w:t>Faiz Giderleri</w:t>
            </w:r>
          </w:p>
        </w:tc>
        <w:tc>
          <w:tcPr>
            <w:tcW w:w="980" w:type="dxa"/>
            <w:tcBorders>
              <w:top w:val="single" w:sz="4" w:space="0" w:color="auto"/>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3,5</w:t>
            </w:r>
          </w:p>
        </w:tc>
        <w:tc>
          <w:tcPr>
            <w:tcW w:w="980" w:type="dxa"/>
            <w:tcBorders>
              <w:top w:val="single" w:sz="4" w:space="0" w:color="auto"/>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3,4</w:t>
            </w:r>
          </w:p>
        </w:tc>
        <w:tc>
          <w:tcPr>
            <w:tcW w:w="951" w:type="dxa"/>
            <w:tcBorders>
              <w:top w:val="single" w:sz="4" w:space="0" w:color="auto"/>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3,1</w:t>
            </w:r>
          </w:p>
        </w:tc>
        <w:tc>
          <w:tcPr>
            <w:tcW w:w="992" w:type="dxa"/>
            <w:tcBorders>
              <w:top w:val="single" w:sz="4" w:space="0" w:color="auto"/>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2,9</w:t>
            </w:r>
          </w:p>
        </w:tc>
        <w:tc>
          <w:tcPr>
            <w:tcW w:w="1000" w:type="dxa"/>
            <w:tcBorders>
              <w:top w:val="single" w:sz="4" w:space="0" w:color="auto"/>
              <w:bottom w:val="nil"/>
              <w:right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2,5</w:t>
            </w:r>
          </w:p>
        </w:tc>
      </w:tr>
      <w:tr w:rsidR="00B903E0" w:rsidRPr="00071923" w:rsidTr="00A60270">
        <w:trPr>
          <w:trHeight w:val="300"/>
        </w:trPr>
        <w:tc>
          <w:tcPr>
            <w:tcW w:w="4040" w:type="dxa"/>
            <w:tcBorders>
              <w:top w:val="nil"/>
              <w:left w:val="single" w:sz="12" w:space="0" w:color="auto"/>
              <w:bottom w:val="nil"/>
            </w:tcBorders>
            <w:shd w:val="clear" w:color="auto" w:fill="auto"/>
            <w:noWrap/>
            <w:vAlign w:val="center"/>
            <w:hideMark/>
          </w:tcPr>
          <w:p w:rsidR="00B903E0" w:rsidRPr="00071923" w:rsidRDefault="00B903E0" w:rsidP="00A60270">
            <w:pPr>
              <w:spacing w:after="0" w:line="240" w:lineRule="auto"/>
              <w:rPr>
                <w:rFonts w:ascii="Arial" w:eastAsia="Times New Roman" w:hAnsi="Arial" w:cs="Arial"/>
                <w:b/>
                <w:bCs/>
                <w:color w:val="000000"/>
                <w:sz w:val="18"/>
                <w:szCs w:val="18"/>
                <w:lang w:eastAsia="tr-TR"/>
              </w:rPr>
            </w:pPr>
            <w:r w:rsidRPr="00071923">
              <w:rPr>
                <w:rFonts w:ascii="Arial" w:eastAsia="Times New Roman" w:hAnsi="Arial" w:cs="Arial"/>
                <w:b/>
                <w:bCs/>
                <w:color w:val="000000"/>
                <w:sz w:val="18"/>
                <w:szCs w:val="18"/>
                <w:lang w:eastAsia="tr-TR"/>
              </w:rPr>
              <w:t>Faiz Giderleri Hariç Denge</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2,5</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2,3</w:t>
            </w:r>
          </w:p>
        </w:tc>
        <w:tc>
          <w:tcPr>
            <w:tcW w:w="951"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2,0</w:t>
            </w:r>
          </w:p>
        </w:tc>
        <w:tc>
          <w:tcPr>
            <w:tcW w:w="992"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2,1</w:t>
            </w:r>
          </w:p>
        </w:tc>
        <w:tc>
          <w:tcPr>
            <w:tcW w:w="1000" w:type="dxa"/>
            <w:tcBorders>
              <w:top w:val="nil"/>
              <w:bottom w:val="nil"/>
              <w:right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2,0</w:t>
            </w:r>
          </w:p>
        </w:tc>
      </w:tr>
      <w:tr w:rsidR="00B903E0" w:rsidRPr="00071923" w:rsidTr="00A60270">
        <w:trPr>
          <w:trHeight w:val="300"/>
        </w:trPr>
        <w:tc>
          <w:tcPr>
            <w:tcW w:w="4040" w:type="dxa"/>
            <w:tcBorders>
              <w:top w:val="nil"/>
              <w:left w:val="single" w:sz="12" w:space="0" w:color="auto"/>
              <w:bottom w:val="nil"/>
            </w:tcBorders>
            <w:shd w:val="clear" w:color="auto" w:fill="auto"/>
            <w:noWrap/>
            <w:vAlign w:val="center"/>
            <w:hideMark/>
          </w:tcPr>
          <w:p w:rsidR="00B903E0" w:rsidRPr="00071923" w:rsidRDefault="00B903E0" w:rsidP="00A60270">
            <w:pPr>
              <w:spacing w:after="0" w:line="240" w:lineRule="auto"/>
              <w:rPr>
                <w:rFonts w:ascii="Arial" w:eastAsia="Times New Roman" w:hAnsi="Arial" w:cs="Arial"/>
                <w:b/>
                <w:bCs/>
                <w:color w:val="000000"/>
                <w:sz w:val="18"/>
                <w:szCs w:val="18"/>
                <w:lang w:eastAsia="tr-TR"/>
              </w:rPr>
            </w:pPr>
            <w:r w:rsidRPr="00071923">
              <w:rPr>
                <w:rFonts w:ascii="Arial" w:eastAsia="Times New Roman" w:hAnsi="Arial" w:cs="Arial"/>
                <w:b/>
                <w:bCs/>
                <w:color w:val="000000"/>
                <w:sz w:val="18"/>
                <w:szCs w:val="18"/>
                <w:lang w:eastAsia="tr-TR"/>
              </w:rPr>
              <w:t>Özelleştirme Gelirleri Hariç Denge</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-1,5</w:t>
            </w:r>
          </w:p>
        </w:tc>
        <w:tc>
          <w:tcPr>
            <w:tcW w:w="980"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-1,6</w:t>
            </w:r>
          </w:p>
        </w:tc>
        <w:tc>
          <w:tcPr>
            <w:tcW w:w="951"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-1,7</w:t>
            </w:r>
          </w:p>
        </w:tc>
        <w:tc>
          <w:tcPr>
            <w:tcW w:w="992" w:type="dxa"/>
            <w:tcBorders>
              <w:top w:val="nil"/>
              <w:bottom w:val="nil"/>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-1,2</w:t>
            </w:r>
          </w:p>
        </w:tc>
        <w:tc>
          <w:tcPr>
            <w:tcW w:w="1000" w:type="dxa"/>
            <w:tcBorders>
              <w:top w:val="nil"/>
              <w:bottom w:val="nil"/>
              <w:right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-0,7</w:t>
            </w:r>
          </w:p>
        </w:tc>
      </w:tr>
      <w:tr w:rsidR="00B903E0" w:rsidRPr="00071923" w:rsidTr="00A60270">
        <w:trPr>
          <w:trHeight w:val="300"/>
        </w:trPr>
        <w:tc>
          <w:tcPr>
            <w:tcW w:w="4040" w:type="dxa"/>
            <w:tcBorders>
              <w:top w:val="nil"/>
              <w:left w:val="single" w:sz="12" w:space="0" w:color="auto"/>
              <w:bottom w:val="single" w:sz="12" w:space="0" w:color="auto"/>
            </w:tcBorders>
            <w:shd w:val="clear" w:color="auto" w:fill="auto"/>
            <w:noWrap/>
            <w:vAlign w:val="center"/>
            <w:hideMark/>
          </w:tcPr>
          <w:p w:rsidR="00B903E0" w:rsidRPr="00071923" w:rsidRDefault="00B903E0" w:rsidP="00A60270">
            <w:pPr>
              <w:spacing w:after="0" w:line="240" w:lineRule="auto"/>
              <w:rPr>
                <w:rFonts w:ascii="Arial" w:eastAsia="Times New Roman" w:hAnsi="Arial" w:cs="Arial"/>
                <w:b/>
                <w:bCs/>
                <w:color w:val="000000"/>
                <w:sz w:val="18"/>
                <w:szCs w:val="18"/>
                <w:lang w:eastAsia="tr-TR"/>
              </w:rPr>
            </w:pPr>
            <w:r w:rsidRPr="00071923">
              <w:rPr>
                <w:rFonts w:ascii="Arial" w:eastAsia="Times New Roman" w:hAnsi="Arial" w:cs="Arial"/>
                <w:b/>
                <w:bCs/>
                <w:color w:val="000000"/>
                <w:sz w:val="18"/>
                <w:szCs w:val="18"/>
                <w:lang w:eastAsia="tr-TR"/>
              </w:rPr>
              <w:t xml:space="preserve">Faiz </w:t>
            </w:r>
            <w:proofErr w:type="spellStart"/>
            <w:r w:rsidRPr="00071923">
              <w:rPr>
                <w:rFonts w:ascii="Arial" w:eastAsia="Times New Roman" w:hAnsi="Arial" w:cs="Arial"/>
                <w:b/>
                <w:bCs/>
                <w:color w:val="000000"/>
                <w:sz w:val="18"/>
                <w:szCs w:val="18"/>
                <w:lang w:eastAsia="tr-TR"/>
              </w:rPr>
              <w:t>Gid</w:t>
            </w:r>
            <w:proofErr w:type="spellEnd"/>
            <w:r w:rsidRPr="00071923">
              <w:rPr>
                <w:rFonts w:ascii="Arial" w:eastAsia="Times New Roman" w:hAnsi="Arial" w:cs="Arial"/>
                <w:b/>
                <w:bCs/>
                <w:color w:val="000000"/>
                <w:sz w:val="18"/>
                <w:szCs w:val="18"/>
                <w:lang w:eastAsia="tr-TR"/>
              </w:rPr>
              <w:t xml:space="preserve">. </w:t>
            </w:r>
            <w:proofErr w:type="gramStart"/>
            <w:r w:rsidRPr="00071923">
              <w:rPr>
                <w:rFonts w:ascii="Arial" w:eastAsia="Times New Roman" w:hAnsi="Arial" w:cs="Arial"/>
                <w:b/>
                <w:bCs/>
                <w:color w:val="000000"/>
                <w:sz w:val="18"/>
                <w:szCs w:val="18"/>
                <w:lang w:eastAsia="tr-TR"/>
              </w:rPr>
              <w:t>ve</w:t>
            </w:r>
            <w:proofErr w:type="gramEnd"/>
            <w:r w:rsidRPr="00071923">
              <w:rPr>
                <w:rFonts w:ascii="Arial" w:eastAsia="Times New Roman" w:hAnsi="Arial" w:cs="Arial"/>
                <w:b/>
                <w:bCs/>
                <w:color w:val="000000"/>
                <w:sz w:val="18"/>
                <w:szCs w:val="18"/>
                <w:lang w:eastAsia="tr-TR"/>
              </w:rPr>
              <w:t xml:space="preserve"> Özelleştirme Gel. Hariç Denge</w:t>
            </w:r>
          </w:p>
        </w:tc>
        <w:tc>
          <w:tcPr>
            <w:tcW w:w="980" w:type="dxa"/>
            <w:tcBorders>
              <w:top w:val="nil"/>
              <w:bottom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2,0</w:t>
            </w:r>
          </w:p>
        </w:tc>
        <w:tc>
          <w:tcPr>
            <w:tcW w:w="980" w:type="dxa"/>
            <w:tcBorders>
              <w:top w:val="nil"/>
              <w:bottom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1,7</w:t>
            </w:r>
          </w:p>
        </w:tc>
        <w:tc>
          <w:tcPr>
            <w:tcW w:w="951" w:type="dxa"/>
            <w:tcBorders>
              <w:top w:val="nil"/>
              <w:bottom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1,4</w:t>
            </w:r>
          </w:p>
        </w:tc>
        <w:tc>
          <w:tcPr>
            <w:tcW w:w="992" w:type="dxa"/>
            <w:tcBorders>
              <w:top w:val="nil"/>
              <w:bottom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1,7</w:t>
            </w:r>
          </w:p>
        </w:tc>
        <w:tc>
          <w:tcPr>
            <w:tcW w:w="1000" w:type="dxa"/>
            <w:tcBorders>
              <w:top w:val="nil"/>
              <w:bottom w:val="single" w:sz="12" w:space="0" w:color="auto"/>
              <w:right w:val="single" w:sz="12" w:space="0" w:color="auto"/>
            </w:tcBorders>
            <w:shd w:val="clear" w:color="auto" w:fill="auto"/>
            <w:noWrap/>
            <w:vAlign w:val="center"/>
            <w:hideMark/>
          </w:tcPr>
          <w:p w:rsidR="00B903E0" w:rsidRPr="00071923" w:rsidRDefault="00B903E0" w:rsidP="00A60270">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1,8</w:t>
            </w:r>
          </w:p>
        </w:tc>
      </w:tr>
    </w:tbl>
    <w:p w:rsidR="00B903E0" w:rsidRPr="00071923" w:rsidRDefault="00B903E0" w:rsidP="00B903E0">
      <w:pPr>
        <w:pStyle w:val="Default"/>
        <w:ind w:right="283"/>
        <w:jc w:val="both"/>
        <w:rPr>
          <w:rFonts w:ascii="Arial" w:hAnsi="Arial" w:cs="Arial"/>
          <w:color w:val="auto"/>
          <w:sz w:val="16"/>
          <w:szCs w:val="18"/>
        </w:rPr>
      </w:pPr>
      <w:r w:rsidRPr="00071923">
        <w:rPr>
          <w:rFonts w:ascii="Arial" w:hAnsi="Arial" w:cs="Arial"/>
          <w:color w:val="auto"/>
          <w:sz w:val="16"/>
          <w:szCs w:val="18"/>
        </w:rPr>
        <w:t>(1) Genel devlet; merkezi yönetim bütçesi kapsamındaki kurum ve kuruluşlar, mahalli idareler, sosyal güvenlik kuruluşları ile GSS, fonlar, döner sermayeler ve İşsizlik Sigortası Fonundan oluşmaktadır.</w:t>
      </w:r>
    </w:p>
    <w:p w:rsidR="00B903E0" w:rsidRPr="00071923" w:rsidRDefault="00B903E0" w:rsidP="00B903E0">
      <w:pPr>
        <w:rPr>
          <w:rFonts w:ascii="Arial" w:hAnsi="Arial" w:cs="Arial"/>
        </w:rPr>
      </w:pPr>
    </w:p>
    <w:p w:rsidR="00B903E0" w:rsidRPr="00071923" w:rsidRDefault="00B903E0" w:rsidP="00B903E0">
      <w:pPr>
        <w:rPr>
          <w:rFonts w:ascii="Arial" w:hAnsi="Arial" w:cs="Arial"/>
        </w:rPr>
      </w:pPr>
    </w:p>
    <w:p w:rsidR="00B903E0" w:rsidRPr="00071923" w:rsidRDefault="00B903E0" w:rsidP="00B903E0">
      <w:pPr>
        <w:rPr>
          <w:rFonts w:ascii="Arial" w:hAnsi="Arial" w:cs="Arial"/>
        </w:rPr>
      </w:pPr>
    </w:p>
    <w:p w:rsidR="00B903E0" w:rsidRPr="00071923" w:rsidRDefault="00B903E0" w:rsidP="00B903E0">
      <w:pPr>
        <w:rPr>
          <w:rFonts w:ascii="Arial" w:hAnsi="Arial" w:cs="Arial"/>
        </w:rPr>
      </w:pPr>
    </w:p>
    <w:p w:rsidR="00B903E0" w:rsidRPr="00071923" w:rsidRDefault="00B903E0" w:rsidP="00B903E0">
      <w:pPr>
        <w:spacing w:after="0" w:line="240" w:lineRule="auto"/>
        <w:ind w:firstLine="708"/>
        <w:jc w:val="right"/>
        <w:rPr>
          <w:rFonts w:ascii="Arial" w:hAnsi="Arial" w:cs="Arial"/>
          <w:sz w:val="16"/>
        </w:rPr>
      </w:pPr>
    </w:p>
    <w:tbl>
      <w:tblPr>
        <w:tblW w:w="9147" w:type="dxa"/>
        <w:tblInd w:w="65" w:type="dxa"/>
        <w:tblCellMar>
          <w:left w:w="70" w:type="dxa"/>
          <w:right w:w="70" w:type="dxa"/>
        </w:tblCellMar>
        <w:tblLook w:val="04A0" w:firstRow="1" w:lastRow="0" w:firstColumn="1" w:lastColumn="0" w:noHBand="0" w:noVBand="1"/>
      </w:tblPr>
      <w:tblGrid>
        <w:gridCol w:w="4037"/>
        <w:gridCol w:w="979"/>
        <w:gridCol w:w="1085"/>
        <w:gridCol w:w="992"/>
        <w:gridCol w:w="992"/>
        <w:gridCol w:w="1062"/>
      </w:tblGrid>
      <w:tr w:rsidR="00B903E0" w:rsidRPr="00071923" w:rsidTr="00887151">
        <w:trPr>
          <w:trHeight w:val="300"/>
        </w:trPr>
        <w:tc>
          <w:tcPr>
            <w:tcW w:w="9147" w:type="dxa"/>
            <w:gridSpan w:val="6"/>
            <w:tcBorders>
              <w:bottom w:val="single" w:sz="12" w:space="0" w:color="auto"/>
            </w:tcBorders>
            <w:shd w:val="clear" w:color="000000" w:fill="FFFFFF"/>
            <w:noWrap/>
            <w:vAlign w:val="center"/>
          </w:tcPr>
          <w:p w:rsidR="00B903E0" w:rsidRPr="00071923" w:rsidRDefault="00B903E0" w:rsidP="00887151">
            <w:pPr>
              <w:spacing w:after="0" w:line="240" w:lineRule="auto"/>
              <w:rPr>
                <w:rFonts w:ascii="Arial" w:eastAsia="Times New Roman" w:hAnsi="Arial" w:cs="Arial"/>
                <w:b/>
                <w:bCs/>
                <w:sz w:val="16"/>
                <w:szCs w:val="16"/>
                <w:lang w:eastAsia="tr-TR"/>
              </w:rPr>
            </w:pPr>
            <w:r w:rsidRPr="00071923">
              <w:rPr>
                <w:rFonts w:ascii="Arial" w:hAnsi="Arial" w:cs="Arial"/>
                <w:b/>
              </w:rPr>
              <w:t>Ek Tablo 6: Merkezi Yönetim Bütçesi</w:t>
            </w:r>
          </w:p>
        </w:tc>
      </w:tr>
      <w:tr w:rsidR="00B903E0" w:rsidRPr="00071923" w:rsidTr="00887151">
        <w:trPr>
          <w:trHeight w:val="300"/>
        </w:trPr>
        <w:tc>
          <w:tcPr>
            <w:tcW w:w="4037" w:type="dxa"/>
            <w:tcBorders>
              <w:top w:val="single" w:sz="12" w:space="0" w:color="auto"/>
              <w:left w:val="single" w:sz="12" w:space="0" w:color="auto"/>
              <w:bottom w:val="nil"/>
              <w:right w:val="single" w:sz="4" w:space="0" w:color="auto"/>
            </w:tcBorders>
            <w:shd w:val="clear" w:color="000000" w:fill="FFFFFF"/>
            <w:noWrap/>
            <w:vAlign w:val="bottom"/>
            <w:hideMark/>
          </w:tcPr>
          <w:p w:rsidR="00B903E0" w:rsidRPr="00071923" w:rsidRDefault="00B903E0" w:rsidP="00887151">
            <w:pPr>
              <w:spacing w:after="0" w:line="240" w:lineRule="auto"/>
              <w:rPr>
                <w:rFonts w:ascii="Arial" w:eastAsia="Times New Roman" w:hAnsi="Arial" w:cs="Arial"/>
                <w:sz w:val="18"/>
                <w:szCs w:val="18"/>
                <w:lang w:eastAsia="tr-TR"/>
              </w:rPr>
            </w:pPr>
            <w:r w:rsidRPr="00071923">
              <w:rPr>
                <w:rFonts w:ascii="Arial" w:eastAsia="Times New Roman" w:hAnsi="Arial" w:cs="Arial"/>
                <w:sz w:val="18"/>
                <w:szCs w:val="18"/>
                <w:lang w:eastAsia="tr-TR"/>
              </w:rPr>
              <w:t> </w:t>
            </w:r>
          </w:p>
        </w:tc>
        <w:tc>
          <w:tcPr>
            <w:tcW w:w="979" w:type="dxa"/>
            <w:tcBorders>
              <w:top w:val="single" w:sz="12" w:space="0" w:color="auto"/>
              <w:left w:val="nil"/>
              <w:right w:val="single" w:sz="4" w:space="0" w:color="auto"/>
            </w:tcBorders>
            <w:shd w:val="clear" w:color="000000" w:fill="FFFFFF"/>
            <w:noWrap/>
            <w:vAlign w:val="center"/>
            <w:hideMark/>
          </w:tcPr>
          <w:p w:rsidR="00B903E0" w:rsidRPr="00071923" w:rsidRDefault="00B903E0" w:rsidP="00887151">
            <w:pPr>
              <w:spacing w:after="0" w:line="240" w:lineRule="auto"/>
              <w:jc w:val="center"/>
              <w:rPr>
                <w:rFonts w:ascii="Arial" w:eastAsia="Times New Roman" w:hAnsi="Arial" w:cs="Arial"/>
                <w:b/>
                <w:bCs/>
                <w:sz w:val="18"/>
                <w:szCs w:val="18"/>
                <w:lang w:eastAsia="tr-TR"/>
              </w:rPr>
            </w:pPr>
          </w:p>
        </w:tc>
        <w:tc>
          <w:tcPr>
            <w:tcW w:w="1085" w:type="dxa"/>
            <w:tcBorders>
              <w:top w:val="single" w:sz="12" w:space="0" w:color="auto"/>
              <w:left w:val="single" w:sz="4" w:space="0" w:color="auto"/>
              <w:right w:val="nil"/>
            </w:tcBorders>
            <w:shd w:val="clear" w:color="000000" w:fill="FFFFFF"/>
            <w:noWrap/>
            <w:vAlign w:val="center"/>
            <w:hideMark/>
          </w:tcPr>
          <w:p w:rsidR="00B903E0" w:rsidRPr="00071923" w:rsidRDefault="00B903E0" w:rsidP="00887151">
            <w:pPr>
              <w:spacing w:after="0" w:line="240" w:lineRule="auto"/>
              <w:jc w:val="center"/>
              <w:rPr>
                <w:rFonts w:ascii="Arial" w:eastAsia="Times New Roman" w:hAnsi="Arial" w:cs="Arial"/>
                <w:b/>
                <w:bCs/>
                <w:sz w:val="18"/>
                <w:szCs w:val="18"/>
                <w:lang w:eastAsia="tr-TR"/>
              </w:rPr>
            </w:pPr>
          </w:p>
        </w:tc>
        <w:tc>
          <w:tcPr>
            <w:tcW w:w="3046" w:type="dxa"/>
            <w:gridSpan w:val="3"/>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B903E0" w:rsidRPr="00071923" w:rsidRDefault="00B903E0" w:rsidP="00887151">
            <w:pPr>
              <w:spacing w:after="0" w:line="240" w:lineRule="auto"/>
              <w:jc w:val="center"/>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OVP</w:t>
            </w:r>
          </w:p>
        </w:tc>
      </w:tr>
      <w:tr w:rsidR="00B903E0" w:rsidRPr="00071923" w:rsidTr="00887151">
        <w:trPr>
          <w:trHeight w:val="300"/>
        </w:trPr>
        <w:tc>
          <w:tcPr>
            <w:tcW w:w="4037" w:type="dxa"/>
            <w:tcBorders>
              <w:top w:val="nil"/>
              <w:left w:val="single" w:sz="12" w:space="0" w:color="auto"/>
              <w:bottom w:val="single" w:sz="12" w:space="0" w:color="auto"/>
              <w:right w:val="single" w:sz="4" w:space="0" w:color="auto"/>
            </w:tcBorders>
            <w:shd w:val="clear" w:color="000000" w:fill="FFFFFF"/>
            <w:noWrap/>
            <w:vAlign w:val="bottom"/>
            <w:hideMark/>
          </w:tcPr>
          <w:p w:rsidR="00B903E0" w:rsidRPr="00071923" w:rsidRDefault="00B903E0" w:rsidP="00887151">
            <w:pPr>
              <w:spacing w:after="0" w:line="240" w:lineRule="auto"/>
              <w:rPr>
                <w:rFonts w:ascii="Arial" w:eastAsia="Times New Roman" w:hAnsi="Arial" w:cs="Arial"/>
                <w:sz w:val="18"/>
                <w:szCs w:val="18"/>
                <w:lang w:eastAsia="tr-TR"/>
              </w:rPr>
            </w:pPr>
            <w:r w:rsidRPr="00071923">
              <w:rPr>
                <w:rFonts w:ascii="Arial" w:eastAsia="Times New Roman" w:hAnsi="Arial" w:cs="Arial"/>
                <w:sz w:val="18"/>
                <w:szCs w:val="18"/>
                <w:lang w:eastAsia="tr-TR"/>
              </w:rPr>
              <w:t> </w:t>
            </w:r>
          </w:p>
        </w:tc>
        <w:tc>
          <w:tcPr>
            <w:tcW w:w="979" w:type="dxa"/>
            <w:tcBorders>
              <w:top w:val="nil"/>
              <w:left w:val="nil"/>
              <w:bottom w:val="single" w:sz="12" w:space="0" w:color="auto"/>
              <w:right w:val="single" w:sz="4" w:space="0" w:color="auto"/>
            </w:tcBorders>
            <w:shd w:val="clear" w:color="000000" w:fill="FFFFFF"/>
            <w:noWrap/>
            <w:vAlign w:val="center"/>
            <w:hideMark/>
          </w:tcPr>
          <w:p w:rsidR="00B903E0" w:rsidRPr="00071923" w:rsidRDefault="00B903E0" w:rsidP="00887151">
            <w:pPr>
              <w:spacing w:after="0" w:line="240" w:lineRule="auto"/>
              <w:jc w:val="center"/>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2012</w:t>
            </w:r>
          </w:p>
        </w:tc>
        <w:tc>
          <w:tcPr>
            <w:tcW w:w="1085" w:type="dxa"/>
            <w:tcBorders>
              <w:top w:val="nil"/>
              <w:left w:val="nil"/>
              <w:bottom w:val="single" w:sz="12" w:space="0" w:color="auto"/>
              <w:right w:val="single" w:sz="4" w:space="0" w:color="auto"/>
            </w:tcBorders>
            <w:shd w:val="clear" w:color="000000" w:fill="FFFFFF"/>
            <w:noWrap/>
            <w:vAlign w:val="center"/>
            <w:hideMark/>
          </w:tcPr>
          <w:p w:rsidR="00B903E0" w:rsidRPr="00071923" w:rsidRDefault="00B903E0" w:rsidP="00887151">
            <w:pPr>
              <w:spacing w:after="0" w:line="240" w:lineRule="auto"/>
              <w:jc w:val="center"/>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2013 GT</w:t>
            </w:r>
          </w:p>
        </w:tc>
        <w:tc>
          <w:tcPr>
            <w:tcW w:w="992" w:type="dxa"/>
            <w:tcBorders>
              <w:top w:val="nil"/>
              <w:left w:val="nil"/>
              <w:bottom w:val="single" w:sz="12" w:space="0" w:color="auto"/>
              <w:right w:val="single" w:sz="4" w:space="0" w:color="auto"/>
            </w:tcBorders>
            <w:shd w:val="clear" w:color="000000" w:fill="FFFFFF"/>
            <w:noWrap/>
            <w:vAlign w:val="center"/>
            <w:hideMark/>
          </w:tcPr>
          <w:p w:rsidR="00B903E0" w:rsidRPr="00071923" w:rsidRDefault="00B903E0" w:rsidP="00887151">
            <w:pPr>
              <w:spacing w:after="0" w:line="240" w:lineRule="auto"/>
              <w:jc w:val="center"/>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2014</w:t>
            </w:r>
          </w:p>
        </w:tc>
        <w:tc>
          <w:tcPr>
            <w:tcW w:w="992" w:type="dxa"/>
            <w:tcBorders>
              <w:top w:val="nil"/>
              <w:left w:val="nil"/>
              <w:bottom w:val="single" w:sz="12" w:space="0" w:color="auto"/>
              <w:right w:val="single" w:sz="4" w:space="0" w:color="auto"/>
            </w:tcBorders>
            <w:shd w:val="clear" w:color="000000" w:fill="FFFFFF"/>
            <w:noWrap/>
            <w:vAlign w:val="center"/>
            <w:hideMark/>
          </w:tcPr>
          <w:p w:rsidR="00B903E0" w:rsidRPr="00071923" w:rsidRDefault="00B903E0" w:rsidP="00887151">
            <w:pPr>
              <w:spacing w:after="0" w:line="240" w:lineRule="auto"/>
              <w:jc w:val="center"/>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2015</w:t>
            </w:r>
          </w:p>
        </w:tc>
        <w:tc>
          <w:tcPr>
            <w:tcW w:w="1062" w:type="dxa"/>
            <w:tcBorders>
              <w:top w:val="nil"/>
              <w:left w:val="nil"/>
              <w:bottom w:val="single" w:sz="12" w:space="0" w:color="auto"/>
              <w:right w:val="single" w:sz="12" w:space="0" w:color="auto"/>
            </w:tcBorders>
            <w:shd w:val="clear" w:color="000000" w:fill="FFFFFF"/>
            <w:noWrap/>
            <w:vAlign w:val="center"/>
            <w:hideMark/>
          </w:tcPr>
          <w:p w:rsidR="00B903E0" w:rsidRPr="00071923" w:rsidRDefault="00B903E0" w:rsidP="00887151">
            <w:pPr>
              <w:spacing w:after="0" w:line="240" w:lineRule="auto"/>
              <w:jc w:val="center"/>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2016</w:t>
            </w:r>
          </w:p>
        </w:tc>
      </w:tr>
      <w:tr w:rsidR="00B903E0" w:rsidRPr="00071923" w:rsidTr="00887151">
        <w:trPr>
          <w:trHeight w:val="300"/>
        </w:trPr>
        <w:tc>
          <w:tcPr>
            <w:tcW w:w="4037" w:type="dxa"/>
            <w:tcBorders>
              <w:top w:val="single" w:sz="12" w:space="0" w:color="auto"/>
              <w:left w:val="single" w:sz="12" w:space="0" w:color="auto"/>
              <w:bottom w:val="nil"/>
              <w:right w:val="single" w:sz="4" w:space="0" w:color="auto"/>
            </w:tcBorders>
            <w:shd w:val="clear" w:color="000000" w:fill="FFFFFF"/>
            <w:noWrap/>
            <w:vAlign w:val="bottom"/>
          </w:tcPr>
          <w:p w:rsidR="00B903E0" w:rsidRPr="00071923" w:rsidRDefault="00B903E0" w:rsidP="00887151">
            <w:pPr>
              <w:spacing w:after="0" w:line="240" w:lineRule="auto"/>
              <w:rPr>
                <w:rFonts w:ascii="Arial" w:eastAsia="Times New Roman" w:hAnsi="Arial" w:cs="Arial"/>
                <w:b/>
                <w:bCs/>
                <w:sz w:val="18"/>
                <w:szCs w:val="18"/>
                <w:lang w:eastAsia="tr-TR"/>
              </w:rPr>
            </w:pPr>
          </w:p>
        </w:tc>
        <w:tc>
          <w:tcPr>
            <w:tcW w:w="5110" w:type="dxa"/>
            <w:gridSpan w:val="5"/>
            <w:tcBorders>
              <w:top w:val="single" w:sz="12" w:space="0" w:color="auto"/>
              <w:left w:val="nil"/>
              <w:bottom w:val="single" w:sz="4" w:space="0" w:color="auto"/>
              <w:right w:val="single" w:sz="12" w:space="0" w:color="auto"/>
            </w:tcBorders>
            <w:shd w:val="clear" w:color="000000" w:fill="FFFFFF"/>
            <w:noWrap/>
            <w:vAlign w:val="center"/>
          </w:tcPr>
          <w:p w:rsidR="00B903E0" w:rsidRPr="00071923" w:rsidRDefault="00B903E0" w:rsidP="00887151">
            <w:pPr>
              <w:spacing w:after="0" w:line="240" w:lineRule="auto"/>
              <w:jc w:val="center"/>
              <w:rPr>
                <w:rFonts w:ascii="Arial" w:eastAsia="Times New Roman" w:hAnsi="Arial" w:cs="Arial"/>
                <w:b/>
                <w:bCs/>
                <w:sz w:val="18"/>
                <w:szCs w:val="18"/>
                <w:lang w:eastAsia="tr-TR"/>
              </w:rPr>
            </w:pPr>
            <w:r w:rsidRPr="00071923">
              <w:rPr>
                <w:rFonts w:ascii="Arial" w:eastAsia="Times New Roman" w:hAnsi="Arial" w:cs="Arial"/>
                <w:bCs/>
                <w:sz w:val="18"/>
                <w:szCs w:val="18"/>
                <w:lang w:eastAsia="tr-TR"/>
              </w:rPr>
              <w:t>(Milyar TL)</w:t>
            </w:r>
          </w:p>
        </w:tc>
      </w:tr>
      <w:tr w:rsidR="00B903E0" w:rsidRPr="00071923" w:rsidTr="00887151">
        <w:trPr>
          <w:trHeight w:val="300"/>
        </w:trPr>
        <w:tc>
          <w:tcPr>
            <w:tcW w:w="4037" w:type="dxa"/>
            <w:tcBorders>
              <w:top w:val="single" w:sz="4" w:space="0" w:color="auto"/>
              <w:left w:val="single" w:sz="12"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Harcamalar</w:t>
            </w:r>
          </w:p>
        </w:tc>
        <w:tc>
          <w:tcPr>
            <w:tcW w:w="979" w:type="dxa"/>
            <w:tcBorders>
              <w:top w:val="single" w:sz="4" w:space="0" w:color="auto"/>
              <w:left w:val="nil"/>
              <w:bottom w:val="nil"/>
              <w:right w:val="nil"/>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361,9</w:t>
            </w:r>
          </w:p>
        </w:tc>
        <w:tc>
          <w:tcPr>
            <w:tcW w:w="1085" w:type="dxa"/>
            <w:tcBorders>
              <w:top w:val="single" w:sz="4" w:space="0" w:color="auto"/>
              <w:left w:val="single" w:sz="4" w:space="0" w:color="auto"/>
              <w:bottom w:val="nil"/>
              <w:right w:val="nil"/>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406,6</w:t>
            </w:r>
          </w:p>
        </w:tc>
        <w:tc>
          <w:tcPr>
            <w:tcW w:w="992" w:type="dxa"/>
            <w:tcBorders>
              <w:top w:val="single" w:sz="4" w:space="0" w:color="auto"/>
              <w:left w:val="single" w:sz="4"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436,3</w:t>
            </w:r>
          </w:p>
        </w:tc>
        <w:tc>
          <w:tcPr>
            <w:tcW w:w="992" w:type="dxa"/>
            <w:tcBorders>
              <w:top w:val="single" w:sz="4" w:space="0" w:color="auto"/>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465,7</w:t>
            </w:r>
          </w:p>
        </w:tc>
        <w:tc>
          <w:tcPr>
            <w:tcW w:w="1062" w:type="dxa"/>
            <w:tcBorders>
              <w:top w:val="single" w:sz="4" w:space="0" w:color="auto"/>
              <w:left w:val="nil"/>
              <w:bottom w:val="nil"/>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496,7</w:t>
            </w:r>
          </w:p>
        </w:tc>
      </w:tr>
      <w:tr w:rsidR="00B903E0" w:rsidRPr="00071923" w:rsidTr="00887151">
        <w:trPr>
          <w:trHeight w:val="300"/>
        </w:trPr>
        <w:tc>
          <w:tcPr>
            <w:tcW w:w="4037"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071923">
            <w:pPr>
              <w:spacing w:after="0" w:line="240" w:lineRule="auto"/>
              <w:ind w:firstLineChars="100" w:firstLine="180"/>
              <w:rPr>
                <w:rFonts w:ascii="Arial" w:eastAsia="Times New Roman" w:hAnsi="Arial" w:cs="Arial"/>
                <w:sz w:val="18"/>
                <w:szCs w:val="18"/>
                <w:lang w:eastAsia="tr-TR"/>
              </w:rPr>
            </w:pPr>
            <w:r w:rsidRPr="00071923">
              <w:rPr>
                <w:rFonts w:ascii="Arial" w:eastAsia="Times New Roman" w:hAnsi="Arial" w:cs="Arial"/>
                <w:sz w:val="18"/>
                <w:szCs w:val="18"/>
                <w:lang w:eastAsia="tr-TR"/>
              </w:rPr>
              <w:t>Faiz Hariç Harcamalar</w:t>
            </w:r>
          </w:p>
        </w:tc>
        <w:tc>
          <w:tcPr>
            <w:tcW w:w="979" w:type="dxa"/>
            <w:tcBorders>
              <w:top w:val="nil"/>
              <w:left w:val="nil"/>
              <w:bottom w:val="nil"/>
              <w:right w:val="nil"/>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313,5</w:t>
            </w:r>
          </w:p>
        </w:tc>
        <w:tc>
          <w:tcPr>
            <w:tcW w:w="1085" w:type="dxa"/>
            <w:tcBorders>
              <w:top w:val="nil"/>
              <w:left w:val="single" w:sz="4" w:space="0" w:color="auto"/>
              <w:bottom w:val="nil"/>
              <w:right w:val="nil"/>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356,1</w:t>
            </w:r>
          </w:p>
        </w:tc>
        <w:tc>
          <w:tcPr>
            <w:tcW w:w="992" w:type="dxa"/>
            <w:tcBorders>
              <w:top w:val="nil"/>
              <w:left w:val="single" w:sz="4"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384,3</w:t>
            </w:r>
          </w:p>
        </w:tc>
        <w:tc>
          <w:tcPr>
            <w:tcW w:w="992"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412,7</w:t>
            </w:r>
          </w:p>
        </w:tc>
        <w:tc>
          <w:tcPr>
            <w:tcW w:w="1062" w:type="dxa"/>
            <w:tcBorders>
              <w:top w:val="nil"/>
              <w:left w:val="nil"/>
              <w:bottom w:val="nil"/>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445,7</w:t>
            </w:r>
          </w:p>
        </w:tc>
      </w:tr>
      <w:tr w:rsidR="00B903E0" w:rsidRPr="00071923" w:rsidTr="00887151">
        <w:trPr>
          <w:trHeight w:val="300"/>
        </w:trPr>
        <w:tc>
          <w:tcPr>
            <w:tcW w:w="4037" w:type="dxa"/>
            <w:tcBorders>
              <w:top w:val="nil"/>
              <w:left w:val="single" w:sz="12" w:space="0" w:color="auto"/>
              <w:bottom w:val="single" w:sz="4" w:space="0" w:color="auto"/>
              <w:right w:val="single" w:sz="4" w:space="0" w:color="auto"/>
            </w:tcBorders>
            <w:shd w:val="clear" w:color="000000" w:fill="FFFFFF"/>
            <w:noWrap/>
            <w:vAlign w:val="center"/>
            <w:hideMark/>
          </w:tcPr>
          <w:p w:rsidR="00B903E0" w:rsidRPr="00071923" w:rsidRDefault="00B903E0" w:rsidP="00071923">
            <w:pPr>
              <w:spacing w:after="0" w:line="240" w:lineRule="auto"/>
              <w:ind w:firstLineChars="100" w:firstLine="180"/>
              <w:rPr>
                <w:rFonts w:ascii="Arial" w:eastAsia="Times New Roman" w:hAnsi="Arial" w:cs="Arial"/>
                <w:sz w:val="18"/>
                <w:szCs w:val="18"/>
                <w:lang w:eastAsia="tr-TR"/>
              </w:rPr>
            </w:pPr>
            <w:r w:rsidRPr="00071923">
              <w:rPr>
                <w:rFonts w:ascii="Arial" w:eastAsia="Times New Roman" w:hAnsi="Arial" w:cs="Arial"/>
                <w:sz w:val="18"/>
                <w:szCs w:val="18"/>
                <w:lang w:eastAsia="tr-TR"/>
              </w:rPr>
              <w:t>Faiz Giderleri</w:t>
            </w:r>
          </w:p>
        </w:tc>
        <w:tc>
          <w:tcPr>
            <w:tcW w:w="979" w:type="dxa"/>
            <w:tcBorders>
              <w:top w:val="nil"/>
              <w:left w:val="nil"/>
              <w:bottom w:val="nil"/>
              <w:right w:val="nil"/>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48,4</w:t>
            </w:r>
          </w:p>
        </w:tc>
        <w:tc>
          <w:tcPr>
            <w:tcW w:w="1085" w:type="dxa"/>
            <w:tcBorders>
              <w:top w:val="nil"/>
              <w:left w:val="single" w:sz="4" w:space="0" w:color="auto"/>
              <w:bottom w:val="nil"/>
              <w:right w:val="nil"/>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50,5</w:t>
            </w:r>
          </w:p>
        </w:tc>
        <w:tc>
          <w:tcPr>
            <w:tcW w:w="992" w:type="dxa"/>
            <w:tcBorders>
              <w:top w:val="nil"/>
              <w:left w:val="single" w:sz="4"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52,0</w:t>
            </w:r>
          </w:p>
        </w:tc>
        <w:tc>
          <w:tcPr>
            <w:tcW w:w="992"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53,0</w:t>
            </w:r>
          </w:p>
        </w:tc>
        <w:tc>
          <w:tcPr>
            <w:tcW w:w="1062" w:type="dxa"/>
            <w:tcBorders>
              <w:top w:val="nil"/>
              <w:left w:val="nil"/>
              <w:bottom w:val="nil"/>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51,0</w:t>
            </w:r>
          </w:p>
        </w:tc>
      </w:tr>
      <w:tr w:rsidR="00B903E0" w:rsidRPr="00071923" w:rsidTr="00887151">
        <w:trPr>
          <w:trHeight w:val="300"/>
        </w:trPr>
        <w:tc>
          <w:tcPr>
            <w:tcW w:w="4037"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Gelirler</w:t>
            </w:r>
          </w:p>
        </w:tc>
        <w:tc>
          <w:tcPr>
            <w:tcW w:w="979" w:type="dxa"/>
            <w:tcBorders>
              <w:top w:val="single" w:sz="4" w:space="0" w:color="auto"/>
              <w:left w:val="nil"/>
              <w:bottom w:val="nil"/>
              <w:right w:val="nil"/>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332,5</w:t>
            </w:r>
          </w:p>
        </w:tc>
        <w:tc>
          <w:tcPr>
            <w:tcW w:w="1085" w:type="dxa"/>
            <w:tcBorders>
              <w:top w:val="single" w:sz="4" w:space="0" w:color="auto"/>
              <w:left w:val="single" w:sz="4" w:space="0" w:color="auto"/>
              <w:bottom w:val="nil"/>
              <w:right w:val="nil"/>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387,2</w:t>
            </w:r>
          </w:p>
        </w:tc>
        <w:tc>
          <w:tcPr>
            <w:tcW w:w="992" w:type="dxa"/>
            <w:tcBorders>
              <w:top w:val="single" w:sz="4" w:space="0" w:color="auto"/>
              <w:left w:val="single" w:sz="4"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403,2</w:t>
            </w:r>
          </w:p>
        </w:tc>
        <w:tc>
          <w:tcPr>
            <w:tcW w:w="992" w:type="dxa"/>
            <w:tcBorders>
              <w:top w:val="single" w:sz="4" w:space="0" w:color="auto"/>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436,2</w:t>
            </w:r>
          </w:p>
        </w:tc>
        <w:tc>
          <w:tcPr>
            <w:tcW w:w="1062" w:type="dxa"/>
            <w:tcBorders>
              <w:top w:val="single" w:sz="4" w:space="0" w:color="auto"/>
              <w:left w:val="nil"/>
              <w:bottom w:val="nil"/>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473,7</w:t>
            </w:r>
          </w:p>
        </w:tc>
      </w:tr>
      <w:tr w:rsidR="00B903E0" w:rsidRPr="00071923" w:rsidTr="00887151">
        <w:trPr>
          <w:trHeight w:val="300"/>
        </w:trPr>
        <w:tc>
          <w:tcPr>
            <w:tcW w:w="4037"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071923">
            <w:pPr>
              <w:spacing w:after="0" w:line="240" w:lineRule="auto"/>
              <w:ind w:firstLineChars="100" w:firstLine="180"/>
              <w:rPr>
                <w:rFonts w:ascii="Arial" w:eastAsia="Times New Roman" w:hAnsi="Arial" w:cs="Arial"/>
                <w:sz w:val="18"/>
                <w:szCs w:val="18"/>
                <w:lang w:eastAsia="tr-TR"/>
              </w:rPr>
            </w:pPr>
            <w:r w:rsidRPr="00071923">
              <w:rPr>
                <w:rFonts w:ascii="Arial" w:eastAsia="Times New Roman" w:hAnsi="Arial" w:cs="Arial"/>
                <w:sz w:val="18"/>
                <w:szCs w:val="18"/>
                <w:lang w:eastAsia="tr-TR"/>
              </w:rPr>
              <w:t>Genel Bütçe Vergi Gelirleri</w:t>
            </w:r>
          </w:p>
        </w:tc>
        <w:tc>
          <w:tcPr>
            <w:tcW w:w="979" w:type="dxa"/>
            <w:tcBorders>
              <w:top w:val="nil"/>
              <w:left w:val="nil"/>
              <w:bottom w:val="nil"/>
              <w:right w:val="nil"/>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278,8</w:t>
            </w:r>
          </w:p>
        </w:tc>
        <w:tc>
          <w:tcPr>
            <w:tcW w:w="1085" w:type="dxa"/>
            <w:tcBorders>
              <w:top w:val="nil"/>
              <w:left w:val="single" w:sz="4" w:space="0" w:color="auto"/>
              <w:bottom w:val="nil"/>
              <w:right w:val="nil"/>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325,1</w:t>
            </w:r>
          </w:p>
        </w:tc>
        <w:tc>
          <w:tcPr>
            <w:tcW w:w="992" w:type="dxa"/>
            <w:tcBorders>
              <w:top w:val="nil"/>
              <w:left w:val="single" w:sz="4"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348,4</w:t>
            </w:r>
          </w:p>
        </w:tc>
        <w:tc>
          <w:tcPr>
            <w:tcW w:w="992"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379,0</w:t>
            </w:r>
          </w:p>
        </w:tc>
        <w:tc>
          <w:tcPr>
            <w:tcW w:w="1062" w:type="dxa"/>
            <w:tcBorders>
              <w:top w:val="nil"/>
              <w:left w:val="nil"/>
              <w:bottom w:val="nil"/>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413,3</w:t>
            </w:r>
          </w:p>
        </w:tc>
      </w:tr>
      <w:tr w:rsidR="00B903E0" w:rsidRPr="00071923" w:rsidTr="00887151">
        <w:trPr>
          <w:trHeight w:val="300"/>
        </w:trPr>
        <w:tc>
          <w:tcPr>
            <w:tcW w:w="4037"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071923">
            <w:pPr>
              <w:spacing w:after="0" w:line="240" w:lineRule="auto"/>
              <w:ind w:firstLineChars="100" w:firstLine="180"/>
              <w:rPr>
                <w:rFonts w:ascii="Arial" w:eastAsia="Times New Roman" w:hAnsi="Arial" w:cs="Arial"/>
                <w:sz w:val="18"/>
                <w:szCs w:val="18"/>
                <w:lang w:eastAsia="tr-TR"/>
              </w:rPr>
            </w:pPr>
            <w:r w:rsidRPr="00071923">
              <w:rPr>
                <w:rFonts w:ascii="Arial" w:eastAsia="Times New Roman" w:hAnsi="Arial" w:cs="Arial"/>
                <w:sz w:val="18"/>
                <w:szCs w:val="18"/>
                <w:lang w:eastAsia="tr-TR"/>
              </w:rPr>
              <w:t>Diğer Gelirler</w:t>
            </w:r>
          </w:p>
        </w:tc>
        <w:tc>
          <w:tcPr>
            <w:tcW w:w="979" w:type="dxa"/>
            <w:tcBorders>
              <w:top w:val="nil"/>
              <w:left w:val="nil"/>
              <w:bottom w:val="nil"/>
              <w:right w:val="nil"/>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53,7</w:t>
            </w:r>
          </w:p>
        </w:tc>
        <w:tc>
          <w:tcPr>
            <w:tcW w:w="1085" w:type="dxa"/>
            <w:tcBorders>
              <w:top w:val="nil"/>
              <w:left w:val="single" w:sz="4" w:space="0" w:color="auto"/>
              <w:bottom w:val="nil"/>
              <w:right w:val="nil"/>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62,0</w:t>
            </w:r>
          </w:p>
        </w:tc>
        <w:tc>
          <w:tcPr>
            <w:tcW w:w="992" w:type="dxa"/>
            <w:tcBorders>
              <w:top w:val="nil"/>
              <w:left w:val="single" w:sz="4"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54,8</w:t>
            </w:r>
          </w:p>
        </w:tc>
        <w:tc>
          <w:tcPr>
            <w:tcW w:w="992"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57,2</w:t>
            </w:r>
          </w:p>
        </w:tc>
        <w:tc>
          <w:tcPr>
            <w:tcW w:w="1062" w:type="dxa"/>
            <w:tcBorders>
              <w:top w:val="nil"/>
              <w:left w:val="nil"/>
              <w:bottom w:val="nil"/>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60,4</w:t>
            </w:r>
          </w:p>
        </w:tc>
      </w:tr>
      <w:tr w:rsidR="00B903E0" w:rsidRPr="00071923" w:rsidTr="00887151">
        <w:trPr>
          <w:trHeight w:val="300"/>
        </w:trPr>
        <w:tc>
          <w:tcPr>
            <w:tcW w:w="4037"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Bütçe Dengesi</w:t>
            </w:r>
          </w:p>
        </w:tc>
        <w:tc>
          <w:tcPr>
            <w:tcW w:w="979" w:type="dxa"/>
            <w:tcBorders>
              <w:top w:val="nil"/>
              <w:left w:val="nil"/>
              <w:bottom w:val="nil"/>
              <w:right w:val="nil"/>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-29,4</w:t>
            </w:r>
          </w:p>
        </w:tc>
        <w:tc>
          <w:tcPr>
            <w:tcW w:w="1085" w:type="dxa"/>
            <w:tcBorders>
              <w:top w:val="nil"/>
              <w:left w:val="single" w:sz="4" w:space="0" w:color="auto"/>
              <w:bottom w:val="nil"/>
              <w:right w:val="nil"/>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-19,4</w:t>
            </w:r>
          </w:p>
        </w:tc>
        <w:tc>
          <w:tcPr>
            <w:tcW w:w="992" w:type="dxa"/>
            <w:tcBorders>
              <w:top w:val="nil"/>
              <w:left w:val="single" w:sz="4"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-33,2</w:t>
            </w:r>
          </w:p>
        </w:tc>
        <w:tc>
          <w:tcPr>
            <w:tcW w:w="992"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-29,5</w:t>
            </w:r>
          </w:p>
        </w:tc>
        <w:tc>
          <w:tcPr>
            <w:tcW w:w="1062" w:type="dxa"/>
            <w:tcBorders>
              <w:top w:val="nil"/>
              <w:left w:val="nil"/>
              <w:bottom w:val="nil"/>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-23,0</w:t>
            </w:r>
          </w:p>
        </w:tc>
      </w:tr>
      <w:tr w:rsidR="00B903E0" w:rsidRPr="00071923" w:rsidTr="00887151">
        <w:trPr>
          <w:trHeight w:val="300"/>
        </w:trPr>
        <w:tc>
          <w:tcPr>
            <w:tcW w:w="4037" w:type="dxa"/>
            <w:tcBorders>
              <w:top w:val="nil"/>
              <w:left w:val="single" w:sz="12" w:space="0" w:color="auto"/>
              <w:bottom w:val="single" w:sz="4" w:space="0" w:color="auto"/>
              <w:right w:val="single" w:sz="4" w:space="0" w:color="auto"/>
            </w:tcBorders>
            <w:shd w:val="clear" w:color="000000" w:fill="FFFFFF"/>
            <w:noWrap/>
            <w:vAlign w:val="center"/>
            <w:hideMark/>
          </w:tcPr>
          <w:p w:rsidR="00B903E0" w:rsidRPr="00071923" w:rsidRDefault="00B903E0" w:rsidP="00887151">
            <w:pPr>
              <w:spacing w:after="0" w:line="240" w:lineRule="auto"/>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Faiz Dışı Denge</w:t>
            </w:r>
          </w:p>
        </w:tc>
        <w:tc>
          <w:tcPr>
            <w:tcW w:w="979" w:type="dxa"/>
            <w:tcBorders>
              <w:top w:val="nil"/>
              <w:left w:val="nil"/>
              <w:bottom w:val="single" w:sz="4" w:space="0" w:color="auto"/>
              <w:right w:val="nil"/>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19,0</w:t>
            </w:r>
          </w:p>
        </w:tc>
        <w:tc>
          <w:tcPr>
            <w:tcW w:w="1085" w:type="dxa"/>
            <w:tcBorders>
              <w:top w:val="nil"/>
              <w:left w:val="single" w:sz="4" w:space="0" w:color="auto"/>
              <w:bottom w:val="single" w:sz="4" w:space="0" w:color="auto"/>
              <w:right w:val="nil"/>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31,1</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18,8</w:t>
            </w:r>
          </w:p>
        </w:tc>
        <w:tc>
          <w:tcPr>
            <w:tcW w:w="992" w:type="dxa"/>
            <w:tcBorders>
              <w:top w:val="nil"/>
              <w:left w:val="nil"/>
              <w:bottom w:val="single" w:sz="4" w:space="0" w:color="auto"/>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23,5</w:t>
            </w:r>
          </w:p>
        </w:tc>
        <w:tc>
          <w:tcPr>
            <w:tcW w:w="1062" w:type="dxa"/>
            <w:tcBorders>
              <w:top w:val="nil"/>
              <w:left w:val="nil"/>
              <w:bottom w:val="single" w:sz="4" w:space="0" w:color="auto"/>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28,0</w:t>
            </w:r>
          </w:p>
        </w:tc>
      </w:tr>
      <w:tr w:rsidR="00B903E0" w:rsidRPr="00071923" w:rsidTr="00887151">
        <w:trPr>
          <w:trHeight w:val="300"/>
        </w:trPr>
        <w:tc>
          <w:tcPr>
            <w:tcW w:w="4037"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Program Tanımlı Harcamalar</w:t>
            </w:r>
          </w:p>
        </w:tc>
        <w:tc>
          <w:tcPr>
            <w:tcW w:w="979" w:type="dxa"/>
            <w:tcBorders>
              <w:top w:val="nil"/>
              <w:left w:val="nil"/>
              <w:bottom w:val="nil"/>
              <w:right w:val="nil"/>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313,5</w:t>
            </w:r>
          </w:p>
        </w:tc>
        <w:tc>
          <w:tcPr>
            <w:tcW w:w="1085" w:type="dxa"/>
            <w:tcBorders>
              <w:top w:val="nil"/>
              <w:left w:val="single" w:sz="4" w:space="0" w:color="auto"/>
              <w:bottom w:val="nil"/>
              <w:right w:val="nil"/>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356,1</w:t>
            </w:r>
          </w:p>
        </w:tc>
        <w:tc>
          <w:tcPr>
            <w:tcW w:w="992" w:type="dxa"/>
            <w:tcBorders>
              <w:top w:val="nil"/>
              <w:left w:val="single" w:sz="4"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384,3</w:t>
            </w:r>
          </w:p>
        </w:tc>
        <w:tc>
          <w:tcPr>
            <w:tcW w:w="992"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412,6</w:t>
            </w:r>
          </w:p>
        </w:tc>
        <w:tc>
          <w:tcPr>
            <w:tcW w:w="1062" w:type="dxa"/>
            <w:tcBorders>
              <w:top w:val="nil"/>
              <w:left w:val="nil"/>
              <w:bottom w:val="nil"/>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445,6</w:t>
            </w:r>
          </w:p>
        </w:tc>
      </w:tr>
      <w:tr w:rsidR="00B903E0" w:rsidRPr="00071923" w:rsidTr="00887151">
        <w:trPr>
          <w:trHeight w:val="300"/>
        </w:trPr>
        <w:tc>
          <w:tcPr>
            <w:tcW w:w="4037"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Program Tanımlı Gelirler</w:t>
            </w:r>
          </w:p>
        </w:tc>
        <w:tc>
          <w:tcPr>
            <w:tcW w:w="979" w:type="dxa"/>
            <w:tcBorders>
              <w:top w:val="nil"/>
              <w:left w:val="nil"/>
              <w:bottom w:val="nil"/>
              <w:right w:val="nil"/>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317,3</w:t>
            </w:r>
          </w:p>
        </w:tc>
        <w:tc>
          <w:tcPr>
            <w:tcW w:w="1085" w:type="dxa"/>
            <w:tcBorders>
              <w:top w:val="nil"/>
              <w:left w:val="single" w:sz="4" w:space="0" w:color="auto"/>
              <w:bottom w:val="nil"/>
              <w:right w:val="nil"/>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369,3</w:t>
            </w:r>
          </w:p>
        </w:tc>
        <w:tc>
          <w:tcPr>
            <w:tcW w:w="992" w:type="dxa"/>
            <w:tcBorders>
              <w:top w:val="nil"/>
              <w:left w:val="single" w:sz="4"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393,0</w:t>
            </w:r>
          </w:p>
        </w:tc>
        <w:tc>
          <w:tcPr>
            <w:tcW w:w="992" w:type="dxa"/>
            <w:tcBorders>
              <w:top w:val="nil"/>
              <w:left w:val="nil"/>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427,9</w:t>
            </w:r>
          </w:p>
        </w:tc>
        <w:tc>
          <w:tcPr>
            <w:tcW w:w="1062" w:type="dxa"/>
            <w:tcBorders>
              <w:top w:val="nil"/>
              <w:left w:val="nil"/>
              <w:bottom w:val="nil"/>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466,3</w:t>
            </w:r>
          </w:p>
        </w:tc>
      </w:tr>
      <w:tr w:rsidR="00B903E0" w:rsidRPr="00071923" w:rsidTr="00887151">
        <w:trPr>
          <w:trHeight w:val="300"/>
        </w:trPr>
        <w:tc>
          <w:tcPr>
            <w:tcW w:w="4037" w:type="dxa"/>
            <w:tcBorders>
              <w:top w:val="nil"/>
              <w:left w:val="single" w:sz="12" w:space="0" w:color="auto"/>
              <w:bottom w:val="single" w:sz="12" w:space="0" w:color="auto"/>
              <w:right w:val="single" w:sz="4" w:space="0" w:color="auto"/>
            </w:tcBorders>
            <w:shd w:val="clear" w:color="000000" w:fill="FFFFFF"/>
            <w:noWrap/>
            <w:vAlign w:val="center"/>
            <w:hideMark/>
          </w:tcPr>
          <w:p w:rsidR="00B903E0" w:rsidRPr="00071923" w:rsidRDefault="00B903E0" w:rsidP="00887151">
            <w:pPr>
              <w:spacing w:after="0" w:line="240" w:lineRule="auto"/>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Program Tanımlı Denge</w:t>
            </w:r>
          </w:p>
        </w:tc>
        <w:tc>
          <w:tcPr>
            <w:tcW w:w="979" w:type="dxa"/>
            <w:tcBorders>
              <w:top w:val="nil"/>
              <w:left w:val="nil"/>
              <w:bottom w:val="single" w:sz="12" w:space="0" w:color="auto"/>
              <w:right w:val="nil"/>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3,8</w:t>
            </w:r>
          </w:p>
        </w:tc>
        <w:tc>
          <w:tcPr>
            <w:tcW w:w="1085" w:type="dxa"/>
            <w:tcBorders>
              <w:top w:val="nil"/>
              <w:left w:val="single" w:sz="4" w:space="0" w:color="auto"/>
              <w:bottom w:val="single" w:sz="12" w:space="0" w:color="auto"/>
              <w:right w:val="nil"/>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13,3</w:t>
            </w:r>
          </w:p>
        </w:tc>
        <w:tc>
          <w:tcPr>
            <w:tcW w:w="992" w:type="dxa"/>
            <w:tcBorders>
              <w:top w:val="nil"/>
              <w:left w:val="single" w:sz="4" w:space="0" w:color="auto"/>
              <w:bottom w:val="single" w:sz="12" w:space="0" w:color="auto"/>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8,7</w:t>
            </w:r>
          </w:p>
        </w:tc>
        <w:tc>
          <w:tcPr>
            <w:tcW w:w="992" w:type="dxa"/>
            <w:tcBorders>
              <w:top w:val="nil"/>
              <w:left w:val="nil"/>
              <w:bottom w:val="single" w:sz="12" w:space="0" w:color="auto"/>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15,2</w:t>
            </w:r>
          </w:p>
        </w:tc>
        <w:tc>
          <w:tcPr>
            <w:tcW w:w="1062" w:type="dxa"/>
            <w:tcBorders>
              <w:top w:val="nil"/>
              <w:left w:val="nil"/>
              <w:bottom w:val="single" w:sz="12" w:space="0" w:color="auto"/>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20,7</w:t>
            </w:r>
          </w:p>
        </w:tc>
      </w:tr>
      <w:tr w:rsidR="00B903E0" w:rsidRPr="00071923" w:rsidTr="00887151">
        <w:trPr>
          <w:trHeight w:val="300"/>
        </w:trPr>
        <w:tc>
          <w:tcPr>
            <w:tcW w:w="4037" w:type="dxa"/>
            <w:tcBorders>
              <w:top w:val="single" w:sz="12" w:space="0" w:color="auto"/>
              <w:left w:val="single" w:sz="12" w:space="0" w:color="auto"/>
              <w:bottom w:val="single" w:sz="4" w:space="0" w:color="auto"/>
              <w:right w:val="single" w:sz="4" w:space="0" w:color="auto"/>
            </w:tcBorders>
            <w:shd w:val="clear" w:color="000000" w:fill="FFFFFF"/>
            <w:noWrap/>
            <w:vAlign w:val="bottom"/>
            <w:hideMark/>
          </w:tcPr>
          <w:p w:rsidR="00B903E0" w:rsidRPr="00071923" w:rsidRDefault="00B903E0" w:rsidP="00887151">
            <w:pPr>
              <w:spacing w:after="0" w:line="240" w:lineRule="auto"/>
              <w:rPr>
                <w:rFonts w:ascii="Arial" w:eastAsia="Times New Roman" w:hAnsi="Arial" w:cs="Arial"/>
                <w:sz w:val="18"/>
                <w:szCs w:val="18"/>
                <w:lang w:eastAsia="tr-TR"/>
              </w:rPr>
            </w:pPr>
            <w:r w:rsidRPr="00071923">
              <w:rPr>
                <w:rFonts w:ascii="Arial" w:eastAsia="Times New Roman" w:hAnsi="Arial" w:cs="Arial"/>
                <w:sz w:val="18"/>
                <w:szCs w:val="18"/>
                <w:lang w:eastAsia="tr-TR"/>
              </w:rPr>
              <w:t> </w:t>
            </w:r>
          </w:p>
        </w:tc>
        <w:tc>
          <w:tcPr>
            <w:tcW w:w="5110" w:type="dxa"/>
            <w:gridSpan w:val="5"/>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B903E0" w:rsidRPr="00071923" w:rsidRDefault="00B903E0" w:rsidP="00887151">
            <w:pPr>
              <w:spacing w:after="0" w:line="240" w:lineRule="auto"/>
              <w:jc w:val="center"/>
              <w:rPr>
                <w:rFonts w:ascii="Arial" w:eastAsia="Times New Roman" w:hAnsi="Arial" w:cs="Arial"/>
                <w:sz w:val="18"/>
                <w:szCs w:val="18"/>
                <w:lang w:eastAsia="tr-TR"/>
              </w:rPr>
            </w:pPr>
            <w:r w:rsidRPr="00071923">
              <w:rPr>
                <w:rFonts w:ascii="Arial" w:hAnsi="Arial" w:cs="Arial"/>
                <w:sz w:val="18"/>
                <w:szCs w:val="18"/>
              </w:rPr>
              <w:t>(</w:t>
            </w:r>
            <w:proofErr w:type="spellStart"/>
            <w:r w:rsidRPr="00071923">
              <w:rPr>
                <w:rFonts w:ascii="Arial" w:hAnsi="Arial" w:cs="Arial"/>
                <w:sz w:val="18"/>
                <w:szCs w:val="18"/>
              </w:rPr>
              <w:t>GSYH’ya</w:t>
            </w:r>
            <w:proofErr w:type="spellEnd"/>
            <w:r w:rsidRPr="00071923">
              <w:rPr>
                <w:rFonts w:ascii="Arial" w:hAnsi="Arial" w:cs="Arial"/>
                <w:sz w:val="18"/>
                <w:szCs w:val="18"/>
              </w:rPr>
              <w:t xml:space="preserve"> Oran, Yüzde)</w:t>
            </w:r>
          </w:p>
        </w:tc>
      </w:tr>
      <w:tr w:rsidR="00B903E0" w:rsidRPr="00071923" w:rsidTr="00887151">
        <w:trPr>
          <w:trHeight w:val="300"/>
        </w:trPr>
        <w:tc>
          <w:tcPr>
            <w:tcW w:w="4037" w:type="dxa"/>
            <w:tcBorders>
              <w:top w:val="single" w:sz="4" w:space="0" w:color="auto"/>
              <w:left w:val="single" w:sz="12"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Harcamalar</w:t>
            </w:r>
          </w:p>
        </w:tc>
        <w:tc>
          <w:tcPr>
            <w:tcW w:w="979" w:type="dxa"/>
            <w:tcBorders>
              <w:top w:val="single" w:sz="4" w:space="0" w:color="auto"/>
              <w:left w:val="single" w:sz="4"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25,6</w:t>
            </w:r>
          </w:p>
        </w:tc>
        <w:tc>
          <w:tcPr>
            <w:tcW w:w="1085" w:type="dxa"/>
            <w:tcBorders>
              <w:top w:val="single" w:sz="4" w:space="0" w:color="auto"/>
              <w:left w:val="single" w:sz="4"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26,1</w:t>
            </w:r>
          </w:p>
        </w:tc>
        <w:tc>
          <w:tcPr>
            <w:tcW w:w="992" w:type="dxa"/>
            <w:tcBorders>
              <w:top w:val="single" w:sz="4" w:space="0" w:color="auto"/>
              <w:left w:val="single" w:sz="4"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25,4</w:t>
            </w:r>
          </w:p>
        </w:tc>
        <w:tc>
          <w:tcPr>
            <w:tcW w:w="992" w:type="dxa"/>
            <w:tcBorders>
              <w:top w:val="single" w:sz="4" w:space="0" w:color="auto"/>
              <w:left w:val="single" w:sz="4"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24,6</w:t>
            </w:r>
          </w:p>
        </w:tc>
        <w:tc>
          <w:tcPr>
            <w:tcW w:w="1062" w:type="dxa"/>
            <w:tcBorders>
              <w:top w:val="single" w:sz="4" w:space="0" w:color="auto"/>
              <w:left w:val="single" w:sz="4" w:space="0" w:color="auto"/>
              <w:bottom w:val="nil"/>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23,7</w:t>
            </w:r>
          </w:p>
        </w:tc>
      </w:tr>
      <w:tr w:rsidR="00B903E0" w:rsidRPr="00071923" w:rsidTr="00887151">
        <w:trPr>
          <w:trHeight w:val="300"/>
        </w:trPr>
        <w:tc>
          <w:tcPr>
            <w:tcW w:w="4037" w:type="dxa"/>
            <w:tcBorders>
              <w:top w:val="nil"/>
              <w:left w:val="single" w:sz="12" w:space="0" w:color="auto"/>
              <w:right w:val="single" w:sz="4" w:space="0" w:color="auto"/>
            </w:tcBorders>
            <w:shd w:val="clear" w:color="000000" w:fill="FFFFFF"/>
            <w:noWrap/>
            <w:vAlign w:val="center"/>
            <w:hideMark/>
          </w:tcPr>
          <w:p w:rsidR="00B903E0" w:rsidRPr="00071923" w:rsidRDefault="00B903E0" w:rsidP="00071923">
            <w:pPr>
              <w:spacing w:after="0" w:line="240" w:lineRule="auto"/>
              <w:ind w:firstLineChars="100" w:firstLine="180"/>
              <w:rPr>
                <w:rFonts w:ascii="Arial" w:eastAsia="Times New Roman" w:hAnsi="Arial" w:cs="Arial"/>
                <w:sz w:val="18"/>
                <w:szCs w:val="18"/>
                <w:lang w:eastAsia="tr-TR"/>
              </w:rPr>
            </w:pPr>
            <w:r w:rsidRPr="00071923">
              <w:rPr>
                <w:rFonts w:ascii="Arial" w:eastAsia="Times New Roman" w:hAnsi="Arial" w:cs="Arial"/>
                <w:sz w:val="18"/>
                <w:szCs w:val="18"/>
                <w:lang w:eastAsia="tr-TR"/>
              </w:rPr>
              <w:t>Faiz Hariç Harcamalar</w:t>
            </w:r>
          </w:p>
        </w:tc>
        <w:tc>
          <w:tcPr>
            <w:tcW w:w="979" w:type="dxa"/>
            <w:tcBorders>
              <w:top w:val="nil"/>
              <w:left w:val="single" w:sz="4" w:space="0" w:color="auto"/>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22,1</w:t>
            </w:r>
          </w:p>
        </w:tc>
        <w:tc>
          <w:tcPr>
            <w:tcW w:w="1085" w:type="dxa"/>
            <w:tcBorders>
              <w:top w:val="nil"/>
              <w:left w:val="single" w:sz="4" w:space="0" w:color="auto"/>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22,8</w:t>
            </w:r>
          </w:p>
        </w:tc>
        <w:tc>
          <w:tcPr>
            <w:tcW w:w="992" w:type="dxa"/>
            <w:tcBorders>
              <w:top w:val="nil"/>
              <w:left w:val="single" w:sz="4" w:space="0" w:color="auto"/>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22,4</w:t>
            </w:r>
          </w:p>
        </w:tc>
        <w:tc>
          <w:tcPr>
            <w:tcW w:w="992" w:type="dxa"/>
            <w:tcBorders>
              <w:top w:val="nil"/>
              <w:left w:val="single" w:sz="4" w:space="0" w:color="auto"/>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21,8</w:t>
            </w:r>
          </w:p>
        </w:tc>
        <w:tc>
          <w:tcPr>
            <w:tcW w:w="1062" w:type="dxa"/>
            <w:tcBorders>
              <w:top w:val="nil"/>
              <w:left w:val="single" w:sz="4" w:space="0" w:color="auto"/>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21,3</w:t>
            </w:r>
          </w:p>
        </w:tc>
      </w:tr>
      <w:tr w:rsidR="00B903E0" w:rsidRPr="00071923" w:rsidTr="00887151">
        <w:trPr>
          <w:trHeight w:val="300"/>
        </w:trPr>
        <w:tc>
          <w:tcPr>
            <w:tcW w:w="4037" w:type="dxa"/>
            <w:tcBorders>
              <w:top w:val="nil"/>
              <w:left w:val="single" w:sz="12" w:space="0" w:color="auto"/>
              <w:bottom w:val="single" w:sz="6" w:space="0" w:color="auto"/>
              <w:right w:val="single" w:sz="4" w:space="0" w:color="auto"/>
            </w:tcBorders>
            <w:shd w:val="clear" w:color="000000" w:fill="FFFFFF"/>
            <w:noWrap/>
            <w:vAlign w:val="center"/>
            <w:hideMark/>
          </w:tcPr>
          <w:p w:rsidR="00B903E0" w:rsidRPr="00071923" w:rsidRDefault="00B903E0" w:rsidP="00071923">
            <w:pPr>
              <w:spacing w:after="0" w:line="240" w:lineRule="auto"/>
              <w:ind w:firstLineChars="100" w:firstLine="180"/>
              <w:rPr>
                <w:rFonts w:ascii="Arial" w:eastAsia="Times New Roman" w:hAnsi="Arial" w:cs="Arial"/>
                <w:sz w:val="18"/>
                <w:szCs w:val="18"/>
                <w:lang w:eastAsia="tr-TR"/>
              </w:rPr>
            </w:pPr>
            <w:r w:rsidRPr="00071923">
              <w:rPr>
                <w:rFonts w:ascii="Arial" w:eastAsia="Times New Roman" w:hAnsi="Arial" w:cs="Arial"/>
                <w:sz w:val="18"/>
                <w:szCs w:val="18"/>
                <w:lang w:eastAsia="tr-TR"/>
              </w:rPr>
              <w:t>Faiz Giderleri</w:t>
            </w:r>
          </w:p>
        </w:tc>
        <w:tc>
          <w:tcPr>
            <w:tcW w:w="979" w:type="dxa"/>
            <w:tcBorders>
              <w:top w:val="nil"/>
              <w:left w:val="single" w:sz="4" w:space="0" w:color="auto"/>
              <w:bottom w:val="single" w:sz="6" w:space="0" w:color="auto"/>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3,4</w:t>
            </w:r>
          </w:p>
        </w:tc>
        <w:tc>
          <w:tcPr>
            <w:tcW w:w="1085" w:type="dxa"/>
            <w:tcBorders>
              <w:top w:val="nil"/>
              <w:left w:val="single" w:sz="4" w:space="0" w:color="auto"/>
              <w:bottom w:val="single" w:sz="6" w:space="0" w:color="auto"/>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3,2</w:t>
            </w:r>
          </w:p>
        </w:tc>
        <w:tc>
          <w:tcPr>
            <w:tcW w:w="992" w:type="dxa"/>
            <w:tcBorders>
              <w:top w:val="nil"/>
              <w:left w:val="single" w:sz="4" w:space="0" w:color="auto"/>
              <w:bottom w:val="single" w:sz="6" w:space="0" w:color="auto"/>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3,0</w:t>
            </w:r>
          </w:p>
        </w:tc>
        <w:tc>
          <w:tcPr>
            <w:tcW w:w="992" w:type="dxa"/>
            <w:tcBorders>
              <w:top w:val="nil"/>
              <w:left w:val="single" w:sz="4" w:space="0" w:color="auto"/>
              <w:bottom w:val="single" w:sz="6" w:space="0" w:color="auto"/>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2,8</w:t>
            </w:r>
          </w:p>
        </w:tc>
        <w:tc>
          <w:tcPr>
            <w:tcW w:w="1062" w:type="dxa"/>
            <w:tcBorders>
              <w:top w:val="nil"/>
              <w:left w:val="single" w:sz="4" w:space="0" w:color="auto"/>
              <w:bottom w:val="single" w:sz="6" w:space="0" w:color="auto"/>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2,4</w:t>
            </w:r>
          </w:p>
        </w:tc>
      </w:tr>
      <w:tr w:rsidR="00B903E0" w:rsidRPr="00071923" w:rsidTr="00887151">
        <w:trPr>
          <w:trHeight w:val="300"/>
        </w:trPr>
        <w:tc>
          <w:tcPr>
            <w:tcW w:w="4037" w:type="dxa"/>
            <w:tcBorders>
              <w:top w:val="single" w:sz="6" w:space="0" w:color="auto"/>
              <w:left w:val="single" w:sz="12"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Gelirler</w:t>
            </w:r>
          </w:p>
        </w:tc>
        <w:tc>
          <w:tcPr>
            <w:tcW w:w="979" w:type="dxa"/>
            <w:tcBorders>
              <w:top w:val="single" w:sz="6" w:space="0" w:color="auto"/>
              <w:left w:val="single" w:sz="4"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23,5</w:t>
            </w:r>
          </w:p>
        </w:tc>
        <w:tc>
          <w:tcPr>
            <w:tcW w:w="1085" w:type="dxa"/>
            <w:tcBorders>
              <w:top w:val="single" w:sz="6" w:space="0" w:color="auto"/>
              <w:left w:val="single" w:sz="4"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24,8</w:t>
            </w:r>
          </w:p>
        </w:tc>
        <w:tc>
          <w:tcPr>
            <w:tcW w:w="992" w:type="dxa"/>
            <w:tcBorders>
              <w:top w:val="single" w:sz="6" w:space="0" w:color="auto"/>
              <w:left w:val="single" w:sz="4"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23,5</w:t>
            </w:r>
          </w:p>
        </w:tc>
        <w:tc>
          <w:tcPr>
            <w:tcW w:w="992" w:type="dxa"/>
            <w:tcBorders>
              <w:top w:val="single" w:sz="6" w:space="0" w:color="auto"/>
              <w:left w:val="single" w:sz="4"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23,0</w:t>
            </w:r>
          </w:p>
        </w:tc>
        <w:tc>
          <w:tcPr>
            <w:tcW w:w="1062" w:type="dxa"/>
            <w:tcBorders>
              <w:top w:val="single" w:sz="6" w:space="0" w:color="auto"/>
              <w:left w:val="single" w:sz="4" w:space="0" w:color="auto"/>
              <w:bottom w:val="nil"/>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22,6</w:t>
            </w:r>
          </w:p>
        </w:tc>
      </w:tr>
      <w:tr w:rsidR="00B903E0" w:rsidRPr="00071923" w:rsidTr="00887151">
        <w:trPr>
          <w:trHeight w:val="300"/>
        </w:trPr>
        <w:tc>
          <w:tcPr>
            <w:tcW w:w="4037"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071923">
            <w:pPr>
              <w:spacing w:after="0" w:line="240" w:lineRule="auto"/>
              <w:ind w:firstLineChars="100" w:firstLine="180"/>
              <w:rPr>
                <w:rFonts w:ascii="Arial" w:eastAsia="Times New Roman" w:hAnsi="Arial" w:cs="Arial"/>
                <w:sz w:val="18"/>
                <w:szCs w:val="18"/>
                <w:lang w:eastAsia="tr-TR"/>
              </w:rPr>
            </w:pPr>
            <w:r w:rsidRPr="00071923">
              <w:rPr>
                <w:rFonts w:ascii="Arial" w:eastAsia="Times New Roman" w:hAnsi="Arial" w:cs="Arial"/>
                <w:sz w:val="18"/>
                <w:szCs w:val="18"/>
                <w:lang w:eastAsia="tr-TR"/>
              </w:rPr>
              <w:t>Genel Bütçe Vergi Gelirleri</w:t>
            </w:r>
          </w:p>
        </w:tc>
        <w:tc>
          <w:tcPr>
            <w:tcW w:w="979" w:type="dxa"/>
            <w:tcBorders>
              <w:top w:val="nil"/>
              <w:left w:val="single" w:sz="4"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19,7</w:t>
            </w:r>
          </w:p>
        </w:tc>
        <w:tc>
          <w:tcPr>
            <w:tcW w:w="1085" w:type="dxa"/>
            <w:tcBorders>
              <w:top w:val="nil"/>
              <w:left w:val="single" w:sz="4"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20,9</w:t>
            </w:r>
          </w:p>
        </w:tc>
        <w:tc>
          <w:tcPr>
            <w:tcW w:w="992" w:type="dxa"/>
            <w:tcBorders>
              <w:top w:val="nil"/>
              <w:left w:val="single" w:sz="4"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20,3</w:t>
            </w:r>
          </w:p>
        </w:tc>
        <w:tc>
          <w:tcPr>
            <w:tcW w:w="992" w:type="dxa"/>
            <w:tcBorders>
              <w:top w:val="nil"/>
              <w:left w:val="single" w:sz="4"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20,0</w:t>
            </w:r>
          </w:p>
        </w:tc>
        <w:tc>
          <w:tcPr>
            <w:tcW w:w="1062" w:type="dxa"/>
            <w:tcBorders>
              <w:top w:val="nil"/>
              <w:left w:val="single" w:sz="4" w:space="0" w:color="auto"/>
              <w:bottom w:val="nil"/>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19,7</w:t>
            </w:r>
          </w:p>
        </w:tc>
      </w:tr>
      <w:tr w:rsidR="00B903E0" w:rsidRPr="00071923" w:rsidTr="00887151">
        <w:trPr>
          <w:trHeight w:val="300"/>
        </w:trPr>
        <w:tc>
          <w:tcPr>
            <w:tcW w:w="4037"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071923">
            <w:pPr>
              <w:spacing w:after="0" w:line="240" w:lineRule="auto"/>
              <w:ind w:firstLineChars="100" w:firstLine="180"/>
              <w:rPr>
                <w:rFonts w:ascii="Arial" w:eastAsia="Times New Roman" w:hAnsi="Arial" w:cs="Arial"/>
                <w:sz w:val="18"/>
                <w:szCs w:val="18"/>
                <w:lang w:eastAsia="tr-TR"/>
              </w:rPr>
            </w:pPr>
            <w:r w:rsidRPr="00071923">
              <w:rPr>
                <w:rFonts w:ascii="Arial" w:eastAsia="Times New Roman" w:hAnsi="Arial" w:cs="Arial"/>
                <w:sz w:val="18"/>
                <w:szCs w:val="18"/>
                <w:lang w:eastAsia="tr-TR"/>
              </w:rPr>
              <w:t>Diğer Gelirler</w:t>
            </w:r>
          </w:p>
        </w:tc>
        <w:tc>
          <w:tcPr>
            <w:tcW w:w="979" w:type="dxa"/>
            <w:tcBorders>
              <w:top w:val="nil"/>
              <w:left w:val="single" w:sz="4"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3,8</w:t>
            </w:r>
          </w:p>
        </w:tc>
        <w:tc>
          <w:tcPr>
            <w:tcW w:w="1085" w:type="dxa"/>
            <w:tcBorders>
              <w:top w:val="nil"/>
              <w:left w:val="single" w:sz="4"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4,0</w:t>
            </w:r>
          </w:p>
        </w:tc>
        <w:tc>
          <w:tcPr>
            <w:tcW w:w="992" w:type="dxa"/>
            <w:tcBorders>
              <w:top w:val="nil"/>
              <w:left w:val="single" w:sz="4"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3,2</w:t>
            </w:r>
          </w:p>
        </w:tc>
        <w:tc>
          <w:tcPr>
            <w:tcW w:w="992" w:type="dxa"/>
            <w:tcBorders>
              <w:top w:val="nil"/>
              <w:left w:val="single" w:sz="4"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3,0</w:t>
            </w:r>
          </w:p>
        </w:tc>
        <w:tc>
          <w:tcPr>
            <w:tcW w:w="1062" w:type="dxa"/>
            <w:tcBorders>
              <w:top w:val="nil"/>
              <w:left w:val="single" w:sz="4" w:space="0" w:color="auto"/>
              <w:bottom w:val="nil"/>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sz w:val="18"/>
                <w:szCs w:val="18"/>
                <w:lang w:eastAsia="tr-TR"/>
              </w:rPr>
            </w:pPr>
            <w:r w:rsidRPr="00071923">
              <w:rPr>
                <w:rFonts w:ascii="Arial" w:eastAsia="Times New Roman" w:hAnsi="Arial" w:cs="Arial"/>
                <w:sz w:val="18"/>
                <w:szCs w:val="18"/>
                <w:lang w:eastAsia="tr-TR"/>
              </w:rPr>
              <w:t>2,9</w:t>
            </w:r>
          </w:p>
        </w:tc>
      </w:tr>
      <w:tr w:rsidR="00B903E0" w:rsidRPr="00071923" w:rsidTr="00887151">
        <w:trPr>
          <w:trHeight w:val="300"/>
        </w:trPr>
        <w:tc>
          <w:tcPr>
            <w:tcW w:w="4037" w:type="dxa"/>
            <w:tcBorders>
              <w:top w:val="nil"/>
              <w:left w:val="single" w:sz="12" w:space="0" w:color="auto"/>
              <w:right w:val="single" w:sz="4" w:space="0" w:color="auto"/>
            </w:tcBorders>
            <w:shd w:val="clear" w:color="000000" w:fill="FFFFFF"/>
            <w:noWrap/>
            <w:vAlign w:val="center"/>
            <w:hideMark/>
          </w:tcPr>
          <w:p w:rsidR="00B903E0" w:rsidRPr="00071923" w:rsidRDefault="00B903E0" w:rsidP="00887151">
            <w:pPr>
              <w:spacing w:after="0" w:line="240" w:lineRule="auto"/>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Bütçe Dengesi</w:t>
            </w:r>
          </w:p>
        </w:tc>
        <w:tc>
          <w:tcPr>
            <w:tcW w:w="979" w:type="dxa"/>
            <w:tcBorders>
              <w:top w:val="nil"/>
              <w:left w:val="single" w:sz="4" w:space="0" w:color="auto"/>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-2,1</w:t>
            </w:r>
          </w:p>
        </w:tc>
        <w:tc>
          <w:tcPr>
            <w:tcW w:w="1085" w:type="dxa"/>
            <w:tcBorders>
              <w:top w:val="nil"/>
              <w:left w:val="single" w:sz="4" w:space="0" w:color="auto"/>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-1,2</w:t>
            </w:r>
          </w:p>
        </w:tc>
        <w:tc>
          <w:tcPr>
            <w:tcW w:w="992" w:type="dxa"/>
            <w:tcBorders>
              <w:top w:val="nil"/>
              <w:left w:val="single" w:sz="4" w:space="0" w:color="auto"/>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-1,9</w:t>
            </w:r>
          </w:p>
        </w:tc>
        <w:tc>
          <w:tcPr>
            <w:tcW w:w="992" w:type="dxa"/>
            <w:tcBorders>
              <w:top w:val="nil"/>
              <w:left w:val="single" w:sz="4" w:space="0" w:color="auto"/>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-1,6</w:t>
            </w:r>
          </w:p>
        </w:tc>
        <w:tc>
          <w:tcPr>
            <w:tcW w:w="1062" w:type="dxa"/>
            <w:tcBorders>
              <w:top w:val="nil"/>
              <w:left w:val="single" w:sz="4" w:space="0" w:color="auto"/>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-1,1</w:t>
            </w:r>
          </w:p>
        </w:tc>
      </w:tr>
      <w:tr w:rsidR="00B903E0" w:rsidRPr="00071923" w:rsidTr="00887151">
        <w:trPr>
          <w:trHeight w:val="300"/>
        </w:trPr>
        <w:tc>
          <w:tcPr>
            <w:tcW w:w="4037" w:type="dxa"/>
            <w:tcBorders>
              <w:top w:val="nil"/>
              <w:left w:val="single" w:sz="12" w:space="0" w:color="auto"/>
              <w:bottom w:val="single" w:sz="6" w:space="0" w:color="auto"/>
              <w:right w:val="single" w:sz="4" w:space="0" w:color="auto"/>
            </w:tcBorders>
            <w:shd w:val="clear" w:color="000000" w:fill="FFFFFF"/>
            <w:noWrap/>
            <w:vAlign w:val="center"/>
            <w:hideMark/>
          </w:tcPr>
          <w:p w:rsidR="00B903E0" w:rsidRPr="00071923" w:rsidRDefault="00B903E0" w:rsidP="00887151">
            <w:pPr>
              <w:spacing w:after="0" w:line="240" w:lineRule="auto"/>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Faiz Dışı Denge</w:t>
            </w:r>
          </w:p>
        </w:tc>
        <w:tc>
          <w:tcPr>
            <w:tcW w:w="979" w:type="dxa"/>
            <w:tcBorders>
              <w:top w:val="nil"/>
              <w:left w:val="single" w:sz="4" w:space="0" w:color="auto"/>
              <w:bottom w:val="single" w:sz="6" w:space="0" w:color="auto"/>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1,3</w:t>
            </w:r>
          </w:p>
        </w:tc>
        <w:tc>
          <w:tcPr>
            <w:tcW w:w="1085" w:type="dxa"/>
            <w:tcBorders>
              <w:top w:val="nil"/>
              <w:left w:val="single" w:sz="4" w:space="0" w:color="auto"/>
              <w:bottom w:val="single" w:sz="6" w:space="0" w:color="auto"/>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2,0</w:t>
            </w:r>
          </w:p>
        </w:tc>
        <w:tc>
          <w:tcPr>
            <w:tcW w:w="992" w:type="dxa"/>
            <w:tcBorders>
              <w:top w:val="nil"/>
              <w:left w:val="single" w:sz="4" w:space="0" w:color="auto"/>
              <w:bottom w:val="single" w:sz="6" w:space="0" w:color="auto"/>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1,1</w:t>
            </w:r>
          </w:p>
        </w:tc>
        <w:tc>
          <w:tcPr>
            <w:tcW w:w="992" w:type="dxa"/>
            <w:tcBorders>
              <w:top w:val="nil"/>
              <w:left w:val="single" w:sz="4" w:space="0" w:color="auto"/>
              <w:bottom w:val="single" w:sz="6" w:space="0" w:color="auto"/>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1,2</w:t>
            </w:r>
          </w:p>
        </w:tc>
        <w:tc>
          <w:tcPr>
            <w:tcW w:w="1062" w:type="dxa"/>
            <w:tcBorders>
              <w:top w:val="nil"/>
              <w:left w:val="single" w:sz="4" w:space="0" w:color="auto"/>
              <w:bottom w:val="single" w:sz="6" w:space="0" w:color="auto"/>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1,3</w:t>
            </w:r>
          </w:p>
        </w:tc>
      </w:tr>
      <w:tr w:rsidR="00B903E0" w:rsidRPr="00071923" w:rsidTr="00887151">
        <w:trPr>
          <w:trHeight w:val="300"/>
        </w:trPr>
        <w:tc>
          <w:tcPr>
            <w:tcW w:w="4037" w:type="dxa"/>
            <w:tcBorders>
              <w:top w:val="single" w:sz="6" w:space="0" w:color="auto"/>
              <w:left w:val="single" w:sz="12"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Program Tanımlı Harcamalar</w:t>
            </w:r>
          </w:p>
        </w:tc>
        <w:tc>
          <w:tcPr>
            <w:tcW w:w="979" w:type="dxa"/>
            <w:tcBorders>
              <w:top w:val="single" w:sz="6" w:space="0" w:color="auto"/>
              <w:left w:val="single" w:sz="4"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22,1</w:t>
            </w:r>
          </w:p>
        </w:tc>
        <w:tc>
          <w:tcPr>
            <w:tcW w:w="1085" w:type="dxa"/>
            <w:tcBorders>
              <w:top w:val="single" w:sz="6" w:space="0" w:color="auto"/>
              <w:left w:val="single" w:sz="4"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22,8</w:t>
            </w:r>
          </w:p>
        </w:tc>
        <w:tc>
          <w:tcPr>
            <w:tcW w:w="992" w:type="dxa"/>
            <w:tcBorders>
              <w:top w:val="single" w:sz="6" w:space="0" w:color="auto"/>
              <w:left w:val="single" w:sz="4"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22,4</w:t>
            </w:r>
          </w:p>
        </w:tc>
        <w:tc>
          <w:tcPr>
            <w:tcW w:w="992" w:type="dxa"/>
            <w:tcBorders>
              <w:top w:val="single" w:sz="6" w:space="0" w:color="auto"/>
              <w:left w:val="single" w:sz="4"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21,8</w:t>
            </w:r>
          </w:p>
        </w:tc>
        <w:tc>
          <w:tcPr>
            <w:tcW w:w="1062" w:type="dxa"/>
            <w:tcBorders>
              <w:top w:val="single" w:sz="6" w:space="0" w:color="auto"/>
              <w:left w:val="single" w:sz="4" w:space="0" w:color="auto"/>
              <w:bottom w:val="nil"/>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21,3</w:t>
            </w:r>
          </w:p>
        </w:tc>
      </w:tr>
      <w:tr w:rsidR="00B903E0" w:rsidRPr="00071923" w:rsidTr="00887151">
        <w:trPr>
          <w:trHeight w:val="300"/>
        </w:trPr>
        <w:tc>
          <w:tcPr>
            <w:tcW w:w="4037" w:type="dxa"/>
            <w:tcBorders>
              <w:top w:val="nil"/>
              <w:left w:val="single" w:sz="12"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Program Tanımlı Gelirler</w:t>
            </w:r>
          </w:p>
        </w:tc>
        <w:tc>
          <w:tcPr>
            <w:tcW w:w="979" w:type="dxa"/>
            <w:tcBorders>
              <w:top w:val="nil"/>
              <w:left w:val="single" w:sz="4"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22,4</w:t>
            </w:r>
          </w:p>
        </w:tc>
        <w:tc>
          <w:tcPr>
            <w:tcW w:w="1085" w:type="dxa"/>
            <w:tcBorders>
              <w:top w:val="nil"/>
              <w:left w:val="single" w:sz="4"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23,7</w:t>
            </w:r>
          </w:p>
        </w:tc>
        <w:tc>
          <w:tcPr>
            <w:tcW w:w="992" w:type="dxa"/>
            <w:tcBorders>
              <w:top w:val="nil"/>
              <w:left w:val="single" w:sz="4"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22,9</w:t>
            </w:r>
          </w:p>
        </w:tc>
        <w:tc>
          <w:tcPr>
            <w:tcW w:w="992" w:type="dxa"/>
            <w:tcBorders>
              <w:top w:val="nil"/>
              <w:left w:val="single" w:sz="4" w:space="0" w:color="auto"/>
              <w:bottom w:val="nil"/>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22,6</w:t>
            </w:r>
          </w:p>
        </w:tc>
        <w:tc>
          <w:tcPr>
            <w:tcW w:w="1062" w:type="dxa"/>
            <w:tcBorders>
              <w:top w:val="nil"/>
              <w:left w:val="single" w:sz="4" w:space="0" w:color="auto"/>
              <w:bottom w:val="nil"/>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22,3</w:t>
            </w:r>
          </w:p>
        </w:tc>
      </w:tr>
      <w:tr w:rsidR="00B903E0" w:rsidRPr="00071923" w:rsidTr="00887151">
        <w:trPr>
          <w:trHeight w:val="300"/>
        </w:trPr>
        <w:tc>
          <w:tcPr>
            <w:tcW w:w="4037" w:type="dxa"/>
            <w:tcBorders>
              <w:top w:val="nil"/>
              <w:left w:val="single" w:sz="12" w:space="0" w:color="auto"/>
              <w:bottom w:val="single" w:sz="12" w:space="0" w:color="auto"/>
              <w:right w:val="single" w:sz="4" w:space="0" w:color="auto"/>
            </w:tcBorders>
            <w:shd w:val="clear" w:color="000000" w:fill="FFFFFF"/>
            <w:noWrap/>
            <w:vAlign w:val="center"/>
            <w:hideMark/>
          </w:tcPr>
          <w:p w:rsidR="00B903E0" w:rsidRPr="00071923" w:rsidRDefault="00B903E0" w:rsidP="00887151">
            <w:pPr>
              <w:spacing w:after="0" w:line="240" w:lineRule="auto"/>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Program Tanımlı Denge</w:t>
            </w:r>
          </w:p>
        </w:tc>
        <w:tc>
          <w:tcPr>
            <w:tcW w:w="979" w:type="dxa"/>
            <w:tcBorders>
              <w:top w:val="nil"/>
              <w:left w:val="single" w:sz="4" w:space="0" w:color="auto"/>
              <w:bottom w:val="single" w:sz="12" w:space="0" w:color="auto"/>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0,3</w:t>
            </w:r>
          </w:p>
        </w:tc>
        <w:tc>
          <w:tcPr>
            <w:tcW w:w="1085" w:type="dxa"/>
            <w:tcBorders>
              <w:top w:val="nil"/>
              <w:left w:val="single" w:sz="4" w:space="0" w:color="auto"/>
              <w:bottom w:val="single" w:sz="12" w:space="0" w:color="auto"/>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0,9</w:t>
            </w:r>
          </w:p>
        </w:tc>
        <w:tc>
          <w:tcPr>
            <w:tcW w:w="992" w:type="dxa"/>
            <w:tcBorders>
              <w:top w:val="nil"/>
              <w:left w:val="single" w:sz="4" w:space="0" w:color="auto"/>
              <w:bottom w:val="single" w:sz="12" w:space="0" w:color="auto"/>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0,5</w:t>
            </w:r>
          </w:p>
        </w:tc>
        <w:tc>
          <w:tcPr>
            <w:tcW w:w="992" w:type="dxa"/>
            <w:tcBorders>
              <w:top w:val="nil"/>
              <w:left w:val="single" w:sz="4" w:space="0" w:color="auto"/>
              <w:bottom w:val="single" w:sz="12" w:space="0" w:color="auto"/>
              <w:right w:val="single" w:sz="4"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0,8</w:t>
            </w:r>
          </w:p>
        </w:tc>
        <w:tc>
          <w:tcPr>
            <w:tcW w:w="1062" w:type="dxa"/>
            <w:tcBorders>
              <w:top w:val="nil"/>
              <w:left w:val="single" w:sz="4" w:space="0" w:color="auto"/>
              <w:bottom w:val="single" w:sz="12" w:space="0" w:color="auto"/>
              <w:right w:val="single" w:sz="12" w:space="0" w:color="auto"/>
            </w:tcBorders>
            <w:shd w:val="clear" w:color="000000" w:fill="FFFFFF"/>
            <w:noWrap/>
            <w:vAlign w:val="center"/>
            <w:hideMark/>
          </w:tcPr>
          <w:p w:rsidR="00B903E0" w:rsidRPr="00071923" w:rsidRDefault="00B903E0" w:rsidP="00887151">
            <w:pPr>
              <w:spacing w:after="0" w:line="240" w:lineRule="auto"/>
              <w:jc w:val="right"/>
              <w:rPr>
                <w:rFonts w:ascii="Arial" w:eastAsia="Times New Roman" w:hAnsi="Arial" w:cs="Arial"/>
                <w:b/>
                <w:bCs/>
                <w:sz w:val="18"/>
                <w:szCs w:val="18"/>
                <w:lang w:eastAsia="tr-TR"/>
              </w:rPr>
            </w:pPr>
            <w:r w:rsidRPr="00071923">
              <w:rPr>
                <w:rFonts w:ascii="Arial" w:eastAsia="Times New Roman" w:hAnsi="Arial" w:cs="Arial"/>
                <w:b/>
                <w:bCs/>
                <w:sz w:val="18"/>
                <w:szCs w:val="18"/>
                <w:lang w:eastAsia="tr-TR"/>
              </w:rPr>
              <w:t>1,0</w:t>
            </w:r>
          </w:p>
        </w:tc>
      </w:tr>
    </w:tbl>
    <w:p w:rsidR="00B903E0" w:rsidRPr="00071923" w:rsidRDefault="00B903E0" w:rsidP="00B903E0">
      <w:pPr>
        <w:rPr>
          <w:rFonts w:ascii="Arial" w:hAnsi="Arial" w:cs="Arial"/>
        </w:rPr>
      </w:pPr>
    </w:p>
    <w:p w:rsidR="00B903E0" w:rsidRPr="00071923" w:rsidRDefault="00B903E0" w:rsidP="00B903E0">
      <w:pPr>
        <w:rPr>
          <w:rFonts w:ascii="Arial" w:hAnsi="Arial" w:cs="Arial"/>
        </w:rPr>
      </w:pPr>
    </w:p>
    <w:p w:rsidR="00B903E0" w:rsidRPr="00071923" w:rsidRDefault="00B903E0" w:rsidP="00B903E0">
      <w:pPr>
        <w:rPr>
          <w:rFonts w:ascii="Arial" w:hAnsi="Arial" w:cs="Arial"/>
        </w:rPr>
      </w:pPr>
    </w:p>
    <w:p w:rsidR="00B903E0" w:rsidRPr="00071923" w:rsidRDefault="00B903E0" w:rsidP="00B903E0">
      <w:pPr>
        <w:rPr>
          <w:rFonts w:ascii="Arial" w:hAnsi="Arial" w:cs="Arial"/>
        </w:rPr>
      </w:pPr>
    </w:p>
    <w:p w:rsidR="00B903E0" w:rsidRPr="00071923" w:rsidRDefault="00B903E0" w:rsidP="00B903E0">
      <w:pPr>
        <w:rPr>
          <w:rFonts w:ascii="Arial" w:hAnsi="Arial" w:cs="Arial"/>
        </w:rPr>
      </w:pPr>
    </w:p>
    <w:p w:rsidR="00B903E0" w:rsidRPr="00071923" w:rsidRDefault="00B903E0" w:rsidP="00B903E0">
      <w:pPr>
        <w:spacing w:after="0" w:line="240" w:lineRule="auto"/>
        <w:rPr>
          <w:rFonts w:ascii="Arial" w:hAnsi="Arial" w:cs="Arial"/>
          <w:sz w:val="20"/>
        </w:rPr>
      </w:pPr>
    </w:p>
    <w:p w:rsidR="00B903E0" w:rsidRPr="00071923" w:rsidRDefault="00B903E0" w:rsidP="00A933E5">
      <w:pPr>
        <w:spacing w:after="0" w:line="240" w:lineRule="auto"/>
        <w:rPr>
          <w:rFonts w:ascii="Arial" w:hAnsi="Arial" w:cs="Arial"/>
          <w:sz w:val="16"/>
          <w:szCs w:val="12"/>
        </w:rPr>
      </w:pPr>
    </w:p>
    <w:sectPr w:rsidR="00B903E0" w:rsidRPr="00071923" w:rsidSect="002866F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05C" w:rsidRDefault="00EB605C" w:rsidP="00D158EF">
      <w:pPr>
        <w:spacing w:after="0" w:line="240" w:lineRule="auto"/>
      </w:pPr>
      <w:r>
        <w:separator/>
      </w:r>
    </w:p>
  </w:endnote>
  <w:endnote w:type="continuationSeparator" w:id="0">
    <w:p w:rsidR="00EB605C" w:rsidRDefault="00EB605C" w:rsidP="00D15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51" w:rsidRDefault="00887151">
    <w:pPr>
      <w:pStyle w:val="Altbilgi"/>
      <w:jc w:val="right"/>
    </w:pPr>
    <w:r>
      <w:fldChar w:fldCharType="begin"/>
    </w:r>
    <w:r>
      <w:instrText>PAGE   \* MERGEFORMAT</w:instrText>
    </w:r>
    <w:r>
      <w:fldChar w:fldCharType="separate"/>
    </w:r>
    <w:r w:rsidR="007F4944">
      <w:rPr>
        <w:noProof/>
      </w:rPr>
      <w:t>3</w:t>
    </w:r>
    <w:r>
      <w:fldChar w:fldCharType="end"/>
    </w:r>
  </w:p>
  <w:p w:rsidR="00887151" w:rsidRDefault="0088715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05C" w:rsidRDefault="00EB605C" w:rsidP="00D158EF">
      <w:pPr>
        <w:spacing w:after="0" w:line="240" w:lineRule="auto"/>
      </w:pPr>
      <w:r>
        <w:separator/>
      </w:r>
    </w:p>
  </w:footnote>
  <w:footnote w:type="continuationSeparator" w:id="0">
    <w:p w:rsidR="00EB605C" w:rsidRDefault="00EB605C" w:rsidP="00D158EF">
      <w:pPr>
        <w:spacing w:after="0" w:line="240" w:lineRule="auto"/>
      </w:pPr>
      <w:r>
        <w:continuationSeparator/>
      </w:r>
    </w:p>
  </w:footnote>
  <w:footnote w:id="1">
    <w:p w:rsidR="00887151" w:rsidRPr="00667AE5" w:rsidRDefault="00887151" w:rsidP="00963058">
      <w:pPr>
        <w:pStyle w:val="DipnotMetni"/>
        <w:jc w:val="both"/>
      </w:pPr>
      <w:r>
        <w:rPr>
          <w:rStyle w:val="DipnotBavurusu"/>
        </w:rPr>
        <w:footnoteRef/>
      </w:r>
      <w:r>
        <w:t xml:space="preserve"> </w:t>
      </w:r>
      <w:r w:rsidRPr="00286682">
        <w:rPr>
          <w:rFonts w:ascii="Arial" w:hAnsi="Arial" w:cs="Arial"/>
        </w:rPr>
        <w:t>Dünya ekonomisine ilişkin veriler Uluslararası Para Fonu (IMF) tarafından 2013 yılı Ekim ayında açıklanan Dünya Ekonomik Görünüm Raporundan alınmıştır.</w:t>
      </w:r>
    </w:p>
    <w:p w:rsidR="00887151" w:rsidRPr="00667AE5" w:rsidRDefault="00887151" w:rsidP="001F6D57">
      <w:pPr>
        <w:pStyle w:val="DipnotMetni"/>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04B3"/>
    <w:multiLevelType w:val="hybridMultilevel"/>
    <w:tmpl w:val="D456A358"/>
    <w:lvl w:ilvl="0" w:tplc="041F001B">
      <w:start w:val="1"/>
      <w:numFmt w:val="lowerRoman"/>
      <w:lvlText w:val="%1."/>
      <w:lvlJc w:val="right"/>
      <w:pPr>
        <w:ind w:left="360" w:hanging="360"/>
      </w:pPr>
      <w:rPr>
        <w:rFonts w:hint="default"/>
        <w:b w:val="0"/>
        <w:color w:val="auto"/>
        <w:sz w:val="22"/>
        <w:szCs w:val="22"/>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4365760"/>
    <w:multiLevelType w:val="hybridMultilevel"/>
    <w:tmpl w:val="92E862A2"/>
    <w:lvl w:ilvl="0" w:tplc="041F001B">
      <w:start w:val="1"/>
      <w:numFmt w:val="lowerRoman"/>
      <w:lvlText w:val="%1."/>
      <w:lvlJc w:val="righ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257822BB"/>
    <w:multiLevelType w:val="hybridMultilevel"/>
    <w:tmpl w:val="24B8F0DC"/>
    <w:lvl w:ilvl="0" w:tplc="0409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2C4546F"/>
    <w:multiLevelType w:val="hybridMultilevel"/>
    <w:tmpl w:val="24B8F0DC"/>
    <w:lvl w:ilvl="0" w:tplc="0409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FA47AF0"/>
    <w:multiLevelType w:val="hybridMultilevel"/>
    <w:tmpl w:val="E892D8E2"/>
    <w:lvl w:ilvl="0" w:tplc="041F0019">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7561987"/>
    <w:multiLevelType w:val="hybridMultilevel"/>
    <w:tmpl w:val="AF921C0A"/>
    <w:lvl w:ilvl="0" w:tplc="199CC454">
      <w:start w:val="1"/>
      <w:numFmt w:val="lowerRoman"/>
      <w:lvlText w:val="%1."/>
      <w:lvlJc w:val="right"/>
      <w:pPr>
        <w:ind w:left="720" w:hanging="360"/>
      </w:pPr>
      <w:rPr>
        <w:rFonts w:cs="Times New Roman"/>
        <w:strike w:val="0"/>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6C234160"/>
    <w:multiLevelType w:val="hybridMultilevel"/>
    <w:tmpl w:val="5FFCAECA"/>
    <w:lvl w:ilvl="0" w:tplc="041F001B">
      <w:start w:val="1"/>
      <w:numFmt w:val="lowerRoman"/>
      <w:lvlText w:val="%1."/>
      <w:lvlJc w:val="righ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E3836CD"/>
    <w:multiLevelType w:val="hybridMultilevel"/>
    <w:tmpl w:val="C944E9EA"/>
    <w:lvl w:ilvl="0" w:tplc="041F000F">
      <w:start w:val="1"/>
      <w:numFmt w:val="decimal"/>
      <w:lvlText w:val="%1."/>
      <w:lvlJc w:val="left"/>
      <w:pPr>
        <w:ind w:left="333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6740C8B"/>
    <w:multiLevelType w:val="hybridMultilevel"/>
    <w:tmpl w:val="C32AB9E8"/>
    <w:lvl w:ilvl="0" w:tplc="041F001B">
      <w:start w:val="1"/>
      <w:numFmt w:val="lowerRoman"/>
      <w:lvlText w:val="%1."/>
      <w:lvlJc w:val="righ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796B60C4"/>
    <w:multiLevelType w:val="hybridMultilevel"/>
    <w:tmpl w:val="4044C092"/>
    <w:lvl w:ilvl="0" w:tplc="A832F9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A072C0D"/>
    <w:multiLevelType w:val="hybridMultilevel"/>
    <w:tmpl w:val="5C42AFF4"/>
    <w:lvl w:ilvl="0" w:tplc="041F001B">
      <w:start w:val="1"/>
      <w:numFmt w:val="lowerRoman"/>
      <w:lvlText w:val="%1."/>
      <w:lvlJc w:val="right"/>
      <w:pPr>
        <w:tabs>
          <w:tab w:val="num" w:pos="1043"/>
        </w:tabs>
        <w:ind w:left="1043" w:hanging="476"/>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8"/>
  </w:num>
  <w:num w:numId="2">
    <w:abstractNumId w:val="1"/>
  </w:num>
  <w:num w:numId="3">
    <w:abstractNumId w:val="0"/>
  </w:num>
  <w:num w:numId="4">
    <w:abstractNumId w:val="2"/>
  </w:num>
  <w:num w:numId="5">
    <w:abstractNumId w:val="5"/>
  </w:num>
  <w:num w:numId="6">
    <w:abstractNumId w:val="4"/>
  </w:num>
  <w:num w:numId="7">
    <w:abstractNumId w:val="6"/>
  </w:num>
  <w:num w:numId="8">
    <w:abstractNumId w:val="10"/>
  </w:num>
  <w:num w:numId="9">
    <w:abstractNumId w:val="3"/>
  </w:num>
  <w:num w:numId="10">
    <w:abstractNumId w:val="7"/>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8AD"/>
    <w:rsid w:val="0000005D"/>
    <w:rsid w:val="000013C4"/>
    <w:rsid w:val="000040A0"/>
    <w:rsid w:val="0000556E"/>
    <w:rsid w:val="000072BF"/>
    <w:rsid w:val="00014434"/>
    <w:rsid w:val="00016F44"/>
    <w:rsid w:val="00021ADD"/>
    <w:rsid w:val="00026BE1"/>
    <w:rsid w:val="000322A6"/>
    <w:rsid w:val="0003294B"/>
    <w:rsid w:val="00035FF3"/>
    <w:rsid w:val="00036B7B"/>
    <w:rsid w:val="000442D5"/>
    <w:rsid w:val="00045042"/>
    <w:rsid w:val="0004605E"/>
    <w:rsid w:val="00046153"/>
    <w:rsid w:val="00055091"/>
    <w:rsid w:val="000556CF"/>
    <w:rsid w:val="0005793F"/>
    <w:rsid w:val="00057D04"/>
    <w:rsid w:val="00066B5F"/>
    <w:rsid w:val="00070F51"/>
    <w:rsid w:val="00071923"/>
    <w:rsid w:val="00075280"/>
    <w:rsid w:val="000755CB"/>
    <w:rsid w:val="00077A30"/>
    <w:rsid w:val="00077FFD"/>
    <w:rsid w:val="00083DA4"/>
    <w:rsid w:val="0008434A"/>
    <w:rsid w:val="00084B95"/>
    <w:rsid w:val="00087CF6"/>
    <w:rsid w:val="000910A1"/>
    <w:rsid w:val="0009561A"/>
    <w:rsid w:val="00097A5F"/>
    <w:rsid w:val="000A34ED"/>
    <w:rsid w:val="000A3FFF"/>
    <w:rsid w:val="000A67A9"/>
    <w:rsid w:val="000A6C4A"/>
    <w:rsid w:val="000C00CE"/>
    <w:rsid w:val="000C153E"/>
    <w:rsid w:val="000C38F8"/>
    <w:rsid w:val="000C41CF"/>
    <w:rsid w:val="000C527D"/>
    <w:rsid w:val="000D4AFE"/>
    <w:rsid w:val="000D4BDE"/>
    <w:rsid w:val="000E061E"/>
    <w:rsid w:val="000E1547"/>
    <w:rsid w:val="000F0835"/>
    <w:rsid w:val="000F3243"/>
    <w:rsid w:val="000F4E8C"/>
    <w:rsid w:val="00100820"/>
    <w:rsid w:val="001024DC"/>
    <w:rsid w:val="001037AA"/>
    <w:rsid w:val="00103AB4"/>
    <w:rsid w:val="00105668"/>
    <w:rsid w:val="00106043"/>
    <w:rsid w:val="001063AC"/>
    <w:rsid w:val="0011139F"/>
    <w:rsid w:val="00112958"/>
    <w:rsid w:val="0011323B"/>
    <w:rsid w:val="0011641C"/>
    <w:rsid w:val="0011735C"/>
    <w:rsid w:val="00117564"/>
    <w:rsid w:val="00124F94"/>
    <w:rsid w:val="001267B8"/>
    <w:rsid w:val="001268CD"/>
    <w:rsid w:val="00132D8F"/>
    <w:rsid w:val="00133B06"/>
    <w:rsid w:val="00141E83"/>
    <w:rsid w:val="00141E98"/>
    <w:rsid w:val="00142AE5"/>
    <w:rsid w:val="00142E8B"/>
    <w:rsid w:val="00143F7A"/>
    <w:rsid w:val="00144BEB"/>
    <w:rsid w:val="0014698A"/>
    <w:rsid w:val="001477F2"/>
    <w:rsid w:val="00150C5F"/>
    <w:rsid w:val="001534A7"/>
    <w:rsid w:val="00153F68"/>
    <w:rsid w:val="001627EB"/>
    <w:rsid w:val="00164BB6"/>
    <w:rsid w:val="001657E2"/>
    <w:rsid w:val="0016666B"/>
    <w:rsid w:val="00166F8F"/>
    <w:rsid w:val="0017145F"/>
    <w:rsid w:val="001742EB"/>
    <w:rsid w:val="00176827"/>
    <w:rsid w:val="001809C5"/>
    <w:rsid w:val="001813E0"/>
    <w:rsid w:val="00182E80"/>
    <w:rsid w:val="00186DF5"/>
    <w:rsid w:val="00186E72"/>
    <w:rsid w:val="001942C4"/>
    <w:rsid w:val="00195AE3"/>
    <w:rsid w:val="00196580"/>
    <w:rsid w:val="00196A05"/>
    <w:rsid w:val="001A2423"/>
    <w:rsid w:val="001A3967"/>
    <w:rsid w:val="001A4139"/>
    <w:rsid w:val="001A6085"/>
    <w:rsid w:val="001A67C7"/>
    <w:rsid w:val="001B2407"/>
    <w:rsid w:val="001B6981"/>
    <w:rsid w:val="001C143F"/>
    <w:rsid w:val="001C1CAC"/>
    <w:rsid w:val="001C245D"/>
    <w:rsid w:val="001C51D7"/>
    <w:rsid w:val="001C5A4A"/>
    <w:rsid w:val="001D1BD3"/>
    <w:rsid w:val="001D7D65"/>
    <w:rsid w:val="001E0875"/>
    <w:rsid w:val="001F18F2"/>
    <w:rsid w:val="001F2AE2"/>
    <w:rsid w:val="001F2B45"/>
    <w:rsid w:val="001F408E"/>
    <w:rsid w:val="001F6D57"/>
    <w:rsid w:val="00201A47"/>
    <w:rsid w:val="00210E65"/>
    <w:rsid w:val="002129E0"/>
    <w:rsid w:val="00215847"/>
    <w:rsid w:val="00217654"/>
    <w:rsid w:val="0021792B"/>
    <w:rsid w:val="00217BA5"/>
    <w:rsid w:val="002225D7"/>
    <w:rsid w:val="00224036"/>
    <w:rsid w:val="00224AD3"/>
    <w:rsid w:val="002269E2"/>
    <w:rsid w:val="00233D1A"/>
    <w:rsid w:val="0023512D"/>
    <w:rsid w:val="00236835"/>
    <w:rsid w:val="00242F5F"/>
    <w:rsid w:val="002439D9"/>
    <w:rsid w:val="002466F7"/>
    <w:rsid w:val="002475CA"/>
    <w:rsid w:val="002531FC"/>
    <w:rsid w:val="0025395D"/>
    <w:rsid w:val="002552ED"/>
    <w:rsid w:val="00256CAB"/>
    <w:rsid w:val="00257D50"/>
    <w:rsid w:val="00264385"/>
    <w:rsid w:val="0026561D"/>
    <w:rsid w:val="0026666D"/>
    <w:rsid w:val="002726B9"/>
    <w:rsid w:val="00275299"/>
    <w:rsid w:val="00276B6A"/>
    <w:rsid w:val="002807AB"/>
    <w:rsid w:val="00280A86"/>
    <w:rsid w:val="00280E34"/>
    <w:rsid w:val="0028646D"/>
    <w:rsid w:val="00286682"/>
    <w:rsid w:val="002866F6"/>
    <w:rsid w:val="00286929"/>
    <w:rsid w:val="0028708C"/>
    <w:rsid w:val="00287E91"/>
    <w:rsid w:val="00291E1E"/>
    <w:rsid w:val="00292E00"/>
    <w:rsid w:val="002A2041"/>
    <w:rsid w:val="002A2AB8"/>
    <w:rsid w:val="002A57DC"/>
    <w:rsid w:val="002A5B3B"/>
    <w:rsid w:val="002A6753"/>
    <w:rsid w:val="002A79F6"/>
    <w:rsid w:val="002B25E4"/>
    <w:rsid w:val="002B437D"/>
    <w:rsid w:val="002B72AA"/>
    <w:rsid w:val="002C2374"/>
    <w:rsid w:val="002C5876"/>
    <w:rsid w:val="002C5AC5"/>
    <w:rsid w:val="002D12A7"/>
    <w:rsid w:val="002D2275"/>
    <w:rsid w:val="002D7619"/>
    <w:rsid w:val="002E3423"/>
    <w:rsid w:val="002E4048"/>
    <w:rsid w:val="002E5448"/>
    <w:rsid w:val="002E5D3D"/>
    <w:rsid w:val="002E7D9B"/>
    <w:rsid w:val="002F1AE1"/>
    <w:rsid w:val="002F3418"/>
    <w:rsid w:val="002F3BC9"/>
    <w:rsid w:val="002F421E"/>
    <w:rsid w:val="00301ADA"/>
    <w:rsid w:val="00302B98"/>
    <w:rsid w:val="0030308A"/>
    <w:rsid w:val="00304DB9"/>
    <w:rsid w:val="00310246"/>
    <w:rsid w:val="0031378C"/>
    <w:rsid w:val="00316115"/>
    <w:rsid w:val="00322410"/>
    <w:rsid w:val="00325F68"/>
    <w:rsid w:val="00327CED"/>
    <w:rsid w:val="0033089C"/>
    <w:rsid w:val="003334A1"/>
    <w:rsid w:val="00333E18"/>
    <w:rsid w:val="00343749"/>
    <w:rsid w:val="00343AEC"/>
    <w:rsid w:val="00344254"/>
    <w:rsid w:val="00345003"/>
    <w:rsid w:val="00346CFD"/>
    <w:rsid w:val="00346F57"/>
    <w:rsid w:val="00350423"/>
    <w:rsid w:val="003526FB"/>
    <w:rsid w:val="003537FE"/>
    <w:rsid w:val="00365635"/>
    <w:rsid w:val="00365E1D"/>
    <w:rsid w:val="00366596"/>
    <w:rsid w:val="003675C2"/>
    <w:rsid w:val="00372263"/>
    <w:rsid w:val="003722D9"/>
    <w:rsid w:val="0037574F"/>
    <w:rsid w:val="00376EAC"/>
    <w:rsid w:val="00377572"/>
    <w:rsid w:val="003801BD"/>
    <w:rsid w:val="003844D2"/>
    <w:rsid w:val="00384CED"/>
    <w:rsid w:val="003864B6"/>
    <w:rsid w:val="003868D2"/>
    <w:rsid w:val="003906B9"/>
    <w:rsid w:val="00391797"/>
    <w:rsid w:val="00393013"/>
    <w:rsid w:val="00393309"/>
    <w:rsid w:val="00396A0A"/>
    <w:rsid w:val="003979BF"/>
    <w:rsid w:val="003A1456"/>
    <w:rsid w:val="003A3A3C"/>
    <w:rsid w:val="003A54D0"/>
    <w:rsid w:val="003B2D88"/>
    <w:rsid w:val="003B329E"/>
    <w:rsid w:val="003B387B"/>
    <w:rsid w:val="003B539B"/>
    <w:rsid w:val="003C0558"/>
    <w:rsid w:val="003C2AED"/>
    <w:rsid w:val="003C412B"/>
    <w:rsid w:val="003C45FD"/>
    <w:rsid w:val="003C7116"/>
    <w:rsid w:val="003D06E8"/>
    <w:rsid w:val="003D509A"/>
    <w:rsid w:val="003D6FBB"/>
    <w:rsid w:val="003E0AB3"/>
    <w:rsid w:val="003E3011"/>
    <w:rsid w:val="003E3CAB"/>
    <w:rsid w:val="003F05D1"/>
    <w:rsid w:val="003F279F"/>
    <w:rsid w:val="003F2929"/>
    <w:rsid w:val="00403EC5"/>
    <w:rsid w:val="00404EBA"/>
    <w:rsid w:val="004134A5"/>
    <w:rsid w:val="0042472F"/>
    <w:rsid w:val="00427B3A"/>
    <w:rsid w:val="00430FF3"/>
    <w:rsid w:val="00442E14"/>
    <w:rsid w:val="004445BB"/>
    <w:rsid w:val="004510E9"/>
    <w:rsid w:val="00454CC6"/>
    <w:rsid w:val="00456E54"/>
    <w:rsid w:val="0046285E"/>
    <w:rsid w:val="0046789C"/>
    <w:rsid w:val="00477E91"/>
    <w:rsid w:val="0048060B"/>
    <w:rsid w:val="00483A07"/>
    <w:rsid w:val="004862DB"/>
    <w:rsid w:val="0048789B"/>
    <w:rsid w:val="00487D01"/>
    <w:rsid w:val="004905A5"/>
    <w:rsid w:val="00492AE9"/>
    <w:rsid w:val="00493198"/>
    <w:rsid w:val="00496692"/>
    <w:rsid w:val="0049778F"/>
    <w:rsid w:val="004A1D44"/>
    <w:rsid w:val="004A7DED"/>
    <w:rsid w:val="004B0801"/>
    <w:rsid w:val="004B17A9"/>
    <w:rsid w:val="004B311F"/>
    <w:rsid w:val="004B41EB"/>
    <w:rsid w:val="004B76AB"/>
    <w:rsid w:val="004C1167"/>
    <w:rsid w:val="004C2999"/>
    <w:rsid w:val="004C4D28"/>
    <w:rsid w:val="004C5908"/>
    <w:rsid w:val="004D478B"/>
    <w:rsid w:val="004D48B2"/>
    <w:rsid w:val="004D78D5"/>
    <w:rsid w:val="004F0B9D"/>
    <w:rsid w:val="004F2AC5"/>
    <w:rsid w:val="004F4C14"/>
    <w:rsid w:val="00502DAF"/>
    <w:rsid w:val="005037DF"/>
    <w:rsid w:val="00504076"/>
    <w:rsid w:val="00504C01"/>
    <w:rsid w:val="005053E1"/>
    <w:rsid w:val="005056E9"/>
    <w:rsid w:val="00511BDE"/>
    <w:rsid w:val="0051596A"/>
    <w:rsid w:val="00522E1C"/>
    <w:rsid w:val="00525C5A"/>
    <w:rsid w:val="00526699"/>
    <w:rsid w:val="00530B26"/>
    <w:rsid w:val="0053312C"/>
    <w:rsid w:val="005336DD"/>
    <w:rsid w:val="00540C07"/>
    <w:rsid w:val="00543AA3"/>
    <w:rsid w:val="005462FC"/>
    <w:rsid w:val="00551576"/>
    <w:rsid w:val="00561E88"/>
    <w:rsid w:val="00562464"/>
    <w:rsid w:val="005653DF"/>
    <w:rsid w:val="005702B0"/>
    <w:rsid w:val="00570714"/>
    <w:rsid w:val="00570A2E"/>
    <w:rsid w:val="0057159C"/>
    <w:rsid w:val="0057188E"/>
    <w:rsid w:val="0057267E"/>
    <w:rsid w:val="005729A2"/>
    <w:rsid w:val="005739E0"/>
    <w:rsid w:val="0057664A"/>
    <w:rsid w:val="00580EC0"/>
    <w:rsid w:val="00582254"/>
    <w:rsid w:val="0058522C"/>
    <w:rsid w:val="005A061D"/>
    <w:rsid w:val="005A1805"/>
    <w:rsid w:val="005A61C4"/>
    <w:rsid w:val="005B5A74"/>
    <w:rsid w:val="005C042B"/>
    <w:rsid w:val="005C4A0C"/>
    <w:rsid w:val="005C56A4"/>
    <w:rsid w:val="005C5E7B"/>
    <w:rsid w:val="005C6141"/>
    <w:rsid w:val="005D0496"/>
    <w:rsid w:val="005D716C"/>
    <w:rsid w:val="005E1890"/>
    <w:rsid w:val="005E2079"/>
    <w:rsid w:val="005E2443"/>
    <w:rsid w:val="005E38EF"/>
    <w:rsid w:val="005E6109"/>
    <w:rsid w:val="005F16A1"/>
    <w:rsid w:val="005F17FE"/>
    <w:rsid w:val="005F5F17"/>
    <w:rsid w:val="005F646E"/>
    <w:rsid w:val="0060325F"/>
    <w:rsid w:val="00603A8F"/>
    <w:rsid w:val="00605901"/>
    <w:rsid w:val="00605B7A"/>
    <w:rsid w:val="00612A2B"/>
    <w:rsid w:val="00622944"/>
    <w:rsid w:val="00622EE5"/>
    <w:rsid w:val="006259F6"/>
    <w:rsid w:val="00636A27"/>
    <w:rsid w:val="0064169F"/>
    <w:rsid w:val="00642AAD"/>
    <w:rsid w:val="00645D7C"/>
    <w:rsid w:val="00653F0F"/>
    <w:rsid w:val="006653E4"/>
    <w:rsid w:val="006658AD"/>
    <w:rsid w:val="0068243C"/>
    <w:rsid w:val="0068293C"/>
    <w:rsid w:val="00682D4B"/>
    <w:rsid w:val="0068368D"/>
    <w:rsid w:val="00683DA4"/>
    <w:rsid w:val="00685031"/>
    <w:rsid w:val="00686287"/>
    <w:rsid w:val="006910E6"/>
    <w:rsid w:val="00691635"/>
    <w:rsid w:val="006935C3"/>
    <w:rsid w:val="00696606"/>
    <w:rsid w:val="006A07D4"/>
    <w:rsid w:val="006A5956"/>
    <w:rsid w:val="006B0AAC"/>
    <w:rsid w:val="006B0E12"/>
    <w:rsid w:val="006B0EC3"/>
    <w:rsid w:val="006B1837"/>
    <w:rsid w:val="006B47B4"/>
    <w:rsid w:val="006B6BE9"/>
    <w:rsid w:val="006B7EAF"/>
    <w:rsid w:val="006C0324"/>
    <w:rsid w:val="006C123E"/>
    <w:rsid w:val="006C290C"/>
    <w:rsid w:val="006C3211"/>
    <w:rsid w:val="006C5E66"/>
    <w:rsid w:val="006C5F47"/>
    <w:rsid w:val="006C7712"/>
    <w:rsid w:val="006D0C09"/>
    <w:rsid w:val="006D1D64"/>
    <w:rsid w:val="006D2BC5"/>
    <w:rsid w:val="006D3099"/>
    <w:rsid w:val="006E0534"/>
    <w:rsid w:val="006E148E"/>
    <w:rsid w:val="006E30CE"/>
    <w:rsid w:val="006E6523"/>
    <w:rsid w:val="006E75F7"/>
    <w:rsid w:val="006E7803"/>
    <w:rsid w:val="006E7F18"/>
    <w:rsid w:val="006F0E48"/>
    <w:rsid w:val="0070327E"/>
    <w:rsid w:val="00706674"/>
    <w:rsid w:val="00710290"/>
    <w:rsid w:val="0071155B"/>
    <w:rsid w:val="00712564"/>
    <w:rsid w:val="00714ED7"/>
    <w:rsid w:val="00715D6C"/>
    <w:rsid w:val="007178A8"/>
    <w:rsid w:val="00717B14"/>
    <w:rsid w:val="00725175"/>
    <w:rsid w:val="00726786"/>
    <w:rsid w:val="00726C7A"/>
    <w:rsid w:val="00732C35"/>
    <w:rsid w:val="007375B6"/>
    <w:rsid w:val="00740571"/>
    <w:rsid w:val="00744E2D"/>
    <w:rsid w:val="007507A4"/>
    <w:rsid w:val="007525E6"/>
    <w:rsid w:val="00754B8E"/>
    <w:rsid w:val="00754FCD"/>
    <w:rsid w:val="00756316"/>
    <w:rsid w:val="00757267"/>
    <w:rsid w:val="00764BEC"/>
    <w:rsid w:val="00765E02"/>
    <w:rsid w:val="0077014B"/>
    <w:rsid w:val="00772733"/>
    <w:rsid w:val="0077386C"/>
    <w:rsid w:val="00775320"/>
    <w:rsid w:val="00777DB6"/>
    <w:rsid w:val="00780385"/>
    <w:rsid w:val="00781D5E"/>
    <w:rsid w:val="0078541E"/>
    <w:rsid w:val="0079148D"/>
    <w:rsid w:val="00795B73"/>
    <w:rsid w:val="00795D02"/>
    <w:rsid w:val="007A2E52"/>
    <w:rsid w:val="007A2F50"/>
    <w:rsid w:val="007A59CD"/>
    <w:rsid w:val="007B15F9"/>
    <w:rsid w:val="007B174C"/>
    <w:rsid w:val="007B187D"/>
    <w:rsid w:val="007B2BB8"/>
    <w:rsid w:val="007C1DF4"/>
    <w:rsid w:val="007D1154"/>
    <w:rsid w:val="007D14F0"/>
    <w:rsid w:val="007D53AB"/>
    <w:rsid w:val="007D6B94"/>
    <w:rsid w:val="007E2549"/>
    <w:rsid w:val="007F0817"/>
    <w:rsid w:val="007F41A8"/>
    <w:rsid w:val="007F4944"/>
    <w:rsid w:val="007F4B1E"/>
    <w:rsid w:val="00801FF5"/>
    <w:rsid w:val="00813D02"/>
    <w:rsid w:val="008165CC"/>
    <w:rsid w:val="0081782B"/>
    <w:rsid w:val="0082073F"/>
    <w:rsid w:val="00821B22"/>
    <w:rsid w:val="008225B3"/>
    <w:rsid w:val="00823A22"/>
    <w:rsid w:val="0083203D"/>
    <w:rsid w:val="00835019"/>
    <w:rsid w:val="00851455"/>
    <w:rsid w:val="00854260"/>
    <w:rsid w:val="008564F4"/>
    <w:rsid w:val="00857DB4"/>
    <w:rsid w:val="00860932"/>
    <w:rsid w:val="00860ED4"/>
    <w:rsid w:val="00861C49"/>
    <w:rsid w:val="00861D00"/>
    <w:rsid w:val="008706E5"/>
    <w:rsid w:val="008723B8"/>
    <w:rsid w:val="008740E0"/>
    <w:rsid w:val="00877ECB"/>
    <w:rsid w:val="00880218"/>
    <w:rsid w:val="00880977"/>
    <w:rsid w:val="00887151"/>
    <w:rsid w:val="008919AA"/>
    <w:rsid w:val="00892176"/>
    <w:rsid w:val="008923BB"/>
    <w:rsid w:val="0089433C"/>
    <w:rsid w:val="00894496"/>
    <w:rsid w:val="008945B4"/>
    <w:rsid w:val="008946F3"/>
    <w:rsid w:val="00896F0F"/>
    <w:rsid w:val="008A257F"/>
    <w:rsid w:val="008A39B2"/>
    <w:rsid w:val="008A40AD"/>
    <w:rsid w:val="008B1AB3"/>
    <w:rsid w:val="008B5307"/>
    <w:rsid w:val="008C09A7"/>
    <w:rsid w:val="008C18F5"/>
    <w:rsid w:val="008C2A53"/>
    <w:rsid w:val="008C30BF"/>
    <w:rsid w:val="008D159D"/>
    <w:rsid w:val="008D1798"/>
    <w:rsid w:val="008D2040"/>
    <w:rsid w:val="008D37CB"/>
    <w:rsid w:val="008D65EA"/>
    <w:rsid w:val="008D67AB"/>
    <w:rsid w:val="008E07FA"/>
    <w:rsid w:val="008E0A5D"/>
    <w:rsid w:val="008E159C"/>
    <w:rsid w:val="008E2219"/>
    <w:rsid w:val="008E2B04"/>
    <w:rsid w:val="008E5BFC"/>
    <w:rsid w:val="008E71EA"/>
    <w:rsid w:val="008F4950"/>
    <w:rsid w:val="008F61CF"/>
    <w:rsid w:val="008F737C"/>
    <w:rsid w:val="008F7B6B"/>
    <w:rsid w:val="00904743"/>
    <w:rsid w:val="00911CC0"/>
    <w:rsid w:val="0091207F"/>
    <w:rsid w:val="00913AC1"/>
    <w:rsid w:val="0091469B"/>
    <w:rsid w:val="00917C6A"/>
    <w:rsid w:val="00920B93"/>
    <w:rsid w:val="0092268B"/>
    <w:rsid w:val="009231CB"/>
    <w:rsid w:val="00924212"/>
    <w:rsid w:val="00924335"/>
    <w:rsid w:val="009246D2"/>
    <w:rsid w:val="0092526C"/>
    <w:rsid w:val="00925280"/>
    <w:rsid w:val="00931741"/>
    <w:rsid w:val="00932B67"/>
    <w:rsid w:val="0093338B"/>
    <w:rsid w:val="00934952"/>
    <w:rsid w:val="00935D69"/>
    <w:rsid w:val="0094430F"/>
    <w:rsid w:val="0094601D"/>
    <w:rsid w:val="00951BDD"/>
    <w:rsid w:val="00953503"/>
    <w:rsid w:val="009565BB"/>
    <w:rsid w:val="00960699"/>
    <w:rsid w:val="009606C7"/>
    <w:rsid w:val="00960F9A"/>
    <w:rsid w:val="00961E67"/>
    <w:rsid w:val="00961F20"/>
    <w:rsid w:val="00963058"/>
    <w:rsid w:val="00965580"/>
    <w:rsid w:val="00972FD7"/>
    <w:rsid w:val="009759CA"/>
    <w:rsid w:val="0097750A"/>
    <w:rsid w:val="00981080"/>
    <w:rsid w:val="00982E74"/>
    <w:rsid w:val="0098389D"/>
    <w:rsid w:val="00983971"/>
    <w:rsid w:val="00983D0B"/>
    <w:rsid w:val="00983EBB"/>
    <w:rsid w:val="00985E68"/>
    <w:rsid w:val="0098635F"/>
    <w:rsid w:val="009876A9"/>
    <w:rsid w:val="0099291D"/>
    <w:rsid w:val="00993186"/>
    <w:rsid w:val="00994C34"/>
    <w:rsid w:val="009A3462"/>
    <w:rsid w:val="009A347F"/>
    <w:rsid w:val="009A7265"/>
    <w:rsid w:val="009B1F2B"/>
    <w:rsid w:val="009B2663"/>
    <w:rsid w:val="009B2AD0"/>
    <w:rsid w:val="009C2240"/>
    <w:rsid w:val="009C3FF3"/>
    <w:rsid w:val="009C4C9B"/>
    <w:rsid w:val="009C7963"/>
    <w:rsid w:val="009D15F6"/>
    <w:rsid w:val="009D359C"/>
    <w:rsid w:val="009D3844"/>
    <w:rsid w:val="009D40E0"/>
    <w:rsid w:val="009D4581"/>
    <w:rsid w:val="009D5FCF"/>
    <w:rsid w:val="009D7679"/>
    <w:rsid w:val="009E0445"/>
    <w:rsid w:val="009F1ABA"/>
    <w:rsid w:val="009F1F8A"/>
    <w:rsid w:val="009F23EA"/>
    <w:rsid w:val="009F7872"/>
    <w:rsid w:val="009F7EB7"/>
    <w:rsid w:val="00A00EE1"/>
    <w:rsid w:val="00A01E90"/>
    <w:rsid w:val="00A04920"/>
    <w:rsid w:val="00A06906"/>
    <w:rsid w:val="00A072E3"/>
    <w:rsid w:val="00A11CFA"/>
    <w:rsid w:val="00A13D27"/>
    <w:rsid w:val="00A20C0A"/>
    <w:rsid w:val="00A215A2"/>
    <w:rsid w:val="00A236E5"/>
    <w:rsid w:val="00A25DC7"/>
    <w:rsid w:val="00A26098"/>
    <w:rsid w:val="00A26AAC"/>
    <w:rsid w:val="00A316AF"/>
    <w:rsid w:val="00A35977"/>
    <w:rsid w:val="00A37F18"/>
    <w:rsid w:val="00A4047B"/>
    <w:rsid w:val="00A421FE"/>
    <w:rsid w:val="00A42825"/>
    <w:rsid w:val="00A42FA1"/>
    <w:rsid w:val="00A45754"/>
    <w:rsid w:val="00A46F43"/>
    <w:rsid w:val="00A50567"/>
    <w:rsid w:val="00A53044"/>
    <w:rsid w:val="00A559EA"/>
    <w:rsid w:val="00A56508"/>
    <w:rsid w:val="00A60270"/>
    <w:rsid w:val="00A62EF9"/>
    <w:rsid w:val="00A66D22"/>
    <w:rsid w:val="00A66ED5"/>
    <w:rsid w:val="00A700C7"/>
    <w:rsid w:val="00A8304E"/>
    <w:rsid w:val="00A866BA"/>
    <w:rsid w:val="00A91515"/>
    <w:rsid w:val="00A91DA5"/>
    <w:rsid w:val="00A933E5"/>
    <w:rsid w:val="00A93AC3"/>
    <w:rsid w:val="00A97A14"/>
    <w:rsid w:val="00AA1EBC"/>
    <w:rsid w:val="00AA4641"/>
    <w:rsid w:val="00AA6FEE"/>
    <w:rsid w:val="00AC4151"/>
    <w:rsid w:val="00AC4A00"/>
    <w:rsid w:val="00AD1C1D"/>
    <w:rsid w:val="00AD534F"/>
    <w:rsid w:val="00AD5C87"/>
    <w:rsid w:val="00AD7038"/>
    <w:rsid w:val="00AE2E4B"/>
    <w:rsid w:val="00AE3FFD"/>
    <w:rsid w:val="00AE6E3B"/>
    <w:rsid w:val="00AE78F5"/>
    <w:rsid w:val="00AF0058"/>
    <w:rsid w:val="00AF4820"/>
    <w:rsid w:val="00B01BF2"/>
    <w:rsid w:val="00B02D69"/>
    <w:rsid w:val="00B03DBA"/>
    <w:rsid w:val="00B05195"/>
    <w:rsid w:val="00B06B06"/>
    <w:rsid w:val="00B15354"/>
    <w:rsid w:val="00B16EEB"/>
    <w:rsid w:val="00B1715B"/>
    <w:rsid w:val="00B17593"/>
    <w:rsid w:val="00B26CFF"/>
    <w:rsid w:val="00B31A2B"/>
    <w:rsid w:val="00B32578"/>
    <w:rsid w:val="00B32E49"/>
    <w:rsid w:val="00B344BC"/>
    <w:rsid w:val="00B344F2"/>
    <w:rsid w:val="00B40981"/>
    <w:rsid w:val="00B42D07"/>
    <w:rsid w:val="00B46ACB"/>
    <w:rsid w:val="00B479D2"/>
    <w:rsid w:val="00B53260"/>
    <w:rsid w:val="00B53A65"/>
    <w:rsid w:val="00B54409"/>
    <w:rsid w:val="00B547D4"/>
    <w:rsid w:val="00B57027"/>
    <w:rsid w:val="00B57527"/>
    <w:rsid w:val="00B628E8"/>
    <w:rsid w:val="00B63EBA"/>
    <w:rsid w:val="00B6493D"/>
    <w:rsid w:val="00B64E9C"/>
    <w:rsid w:val="00B65ADB"/>
    <w:rsid w:val="00B721BA"/>
    <w:rsid w:val="00B73056"/>
    <w:rsid w:val="00B732B2"/>
    <w:rsid w:val="00B7428A"/>
    <w:rsid w:val="00B75E7E"/>
    <w:rsid w:val="00B77F87"/>
    <w:rsid w:val="00B8129E"/>
    <w:rsid w:val="00B903E0"/>
    <w:rsid w:val="00B9259F"/>
    <w:rsid w:val="00B968F3"/>
    <w:rsid w:val="00BA06B0"/>
    <w:rsid w:val="00BB0CA5"/>
    <w:rsid w:val="00BB5542"/>
    <w:rsid w:val="00BB6156"/>
    <w:rsid w:val="00BB62F0"/>
    <w:rsid w:val="00BB6CE0"/>
    <w:rsid w:val="00BC0EFF"/>
    <w:rsid w:val="00BC2437"/>
    <w:rsid w:val="00BC3E28"/>
    <w:rsid w:val="00BC5CF5"/>
    <w:rsid w:val="00BD12B4"/>
    <w:rsid w:val="00BD3F14"/>
    <w:rsid w:val="00BD53DD"/>
    <w:rsid w:val="00BE0CD0"/>
    <w:rsid w:val="00BE3C9B"/>
    <w:rsid w:val="00BE50A6"/>
    <w:rsid w:val="00BE7F9F"/>
    <w:rsid w:val="00BF12C6"/>
    <w:rsid w:val="00BF22C8"/>
    <w:rsid w:val="00BF39F2"/>
    <w:rsid w:val="00BF40F9"/>
    <w:rsid w:val="00BF6DB7"/>
    <w:rsid w:val="00BF6FD3"/>
    <w:rsid w:val="00C01B11"/>
    <w:rsid w:val="00C031A3"/>
    <w:rsid w:val="00C03A3E"/>
    <w:rsid w:val="00C07867"/>
    <w:rsid w:val="00C10795"/>
    <w:rsid w:val="00C11A06"/>
    <w:rsid w:val="00C12279"/>
    <w:rsid w:val="00C1599B"/>
    <w:rsid w:val="00C17E01"/>
    <w:rsid w:val="00C20C81"/>
    <w:rsid w:val="00C247A4"/>
    <w:rsid w:val="00C25B4A"/>
    <w:rsid w:val="00C26968"/>
    <w:rsid w:val="00C27EA0"/>
    <w:rsid w:val="00C379CE"/>
    <w:rsid w:val="00C4057B"/>
    <w:rsid w:val="00C4081D"/>
    <w:rsid w:val="00C43CB8"/>
    <w:rsid w:val="00C43DCC"/>
    <w:rsid w:val="00C4788D"/>
    <w:rsid w:val="00C52F86"/>
    <w:rsid w:val="00C53E97"/>
    <w:rsid w:val="00C62682"/>
    <w:rsid w:val="00C633B7"/>
    <w:rsid w:val="00C6426E"/>
    <w:rsid w:val="00C70623"/>
    <w:rsid w:val="00C756C0"/>
    <w:rsid w:val="00C75B75"/>
    <w:rsid w:val="00C76DB2"/>
    <w:rsid w:val="00C77EFD"/>
    <w:rsid w:val="00C8108F"/>
    <w:rsid w:val="00C8339E"/>
    <w:rsid w:val="00C8594B"/>
    <w:rsid w:val="00C86C63"/>
    <w:rsid w:val="00C8738A"/>
    <w:rsid w:val="00C95CBD"/>
    <w:rsid w:val="00C973C6"/>
    <w:rsid w:val="00CA0A6D"/>
    <w:rsid w:val="00CA0E0E"/>
    <w:rsid w:val="00CA22DB"/>
    <w:rsid w:val="00CA2BBF"/>
    <w:rsid w:val="00CA304E"/>
    <w:rsid w:val="00CA37EF"/>
    <w:rsid w:val="00CA4A87"/>
    <w:rsid w:val="00CA522C"/>
    <w:rsid w:val="00CB4FBA"/>
    <w:rsid w:val="00CB6563"/>
    <w:rsid w:val="00CC01D9"/>
    <w:rsid w:val="00CC24AE"/>
    <w:rsid w:val="00CC6E07"/>
    <w:rsid w:val="00CD6B51"/>
    <w:rsid w:val="00CE42D7"/>
    <w:rsid w:val="00CF120A"/>
    <w:rsid w:val="00CF3122"/>
    <w:rsid w:val="00CF3D61"/>
    <w:rsid w:val="00CF476E"/>
    <w:rsid w:val="00CF7873"/>
    <w:rsid w:val="00D006E1"/>
    <w:rsid w:val="00D015F8"/>
    <w:rsid w:val="00D02E1D"/>
    <w:rsid w:val="00D07D45"/>
    <w:rsid w:val="00D1204C"/>
    <w:rsid w:val="00D158EF"/>
    <w:rsid w:val="00D21099"/>
    <w:rsid w:val="00D217FC"/>
    <w:rsid w:val="00D3040C"/>
    <w:rsid w:val="00D31122"/>
    <w:rsid w:val="00D315F0"/>
    <w:rsid w:val="00D3384D"/>
    <w:rsid w:val="00D40E19"/>
    <w:rsid w:val="00D466F2"/>
    <w:rsid w:val="00D54496"/>
    <w:rsid w:val="00D54F22"/>
    <w:rsid w:val="00D55672"/>
    <w:rsid w:val="00D564EB"/>
    <w:rsid w:val="00D56EBC"/>
    <w:rsid w:val="00D61542"/>
    <w:rsid w:val="00D618E2"/>
    <w:rsid w:val="00D61D96"/>
    <w:rsid w:val="00D6721E"/>
    <w:rsid w:val="00D702C8"/>
    <w:rsid w:val="00D707AC"/>
    <w:rsid w:val="00D71AD9"/>
    <w:rsid w:val="00D76401"/>
    <w:rsid w:val="00D76B4D"/>
    <w:rsid w:val="00D81D3E"/>
    <w:rsid w:val="00D91603"/>
    <w:rsid w:val="00D923AF"/>
    <w:rsid w:val="00D96A0E"/>
    <w:rsid w:val="00DA0B57"/>
    <w:rsid w:val="00DA105F"/>
    <w:rsid w:val="00DA3B32"/>
    <w:rsid w:val="00DA65F1"/>
    <w:rsid w:val="00DB0DC1"/>
    <w:rsid w:val="00DB49F8"/>
    <w:rsid w:val="00DB6672"/>
    <w:rsid w:val="00DC0218"/>
    <w:rsid w:val="00DD096C"/>
    <w:rsid w:val="00DD153A"/>
    <w:rsid w:val="00DD1F4A"/>
    <w:rsid w:val="00DD21BE"/>
    <w:rsid w:val="00DE2B72"/>
    <w:rsid w:val="00DE4894"/>
    <w:rsid w:val="00DE6A0F"/>
    <w:rsid w:val="00DE75FC"/>
    <w:rsid w:val="00DF4F71"/>
    <w:rsid w:val="00DF5695"/>
    <w:rsid w:val="00DF6226"/>
    <w:rsid w:val="00DF6461"/>
    <w:rsid w:val="00E007C8"/>
    <w:rsid w:val="00E00BF9"/>
    <w:rsid w:val="00E02426"/>
    <w:rsid w:val="00E038C7"/>
    <w:rsid w:val="00E070BA"/>
    <w:rsid w:val="00E11934"/>
    <w:rsid w:val="00E13560"/>
    <w:rsid w:val="00E151AD"/>
    <w:rsid w:val="00E15928"/>
    <w:rsid w:val="00E174FA"/>
    <w:rsid w:val="00E21803"/>
    <w:rsid w:val="00E22F00"/>
    <w:rsid w:val="00E23724"/>
    <w:rsid w:val="00E302DD"/>
    <w:rsid w:val="00E327E5"/>
    <w:rsid w:val="00E34A68"/>
    <w:rsid w:val="00E418E0"/>
    <w:rsid w:val="00E5037C"/>
    <w:rsid w:val="00E51117"/>
    <w:rsid w:val="00E51459"/>
    <w:rsid w:val="00E525ED"/>
    <w:rsid w:val="00E560F5"/>
    <w:rsid w:val="00E607D1"/>
    <w:rsid w:val="00E625EA"/>
    <w:rsid w:val="00E62FAF"/>
    <w:rsid w:val="00E67A6F"/>
    <w:rsid w:val="00E70B7F"/>
    <w:rsid w:val="00E72B72"/>
    <w:rsid w:val="00E73CC0"/>
    <w:rsid w:val="00E75C1F"/>
    <w:rsid w:val="00E81477"/>
    <w:rsid w:val="00E85BD1"/>
    <w:rsid w:val="00E96B36"/>
    <w:rsid w:val="00E975AB"/>
    <w:rsid w:val="00EA2428"/>
    <w:rsid w:val="00EA262E"/>
    <w:rsid w:val="00EA50EA"/>
    <w:rsid w:val="00EB00B5"/>
    <w:rsid w:val="00EB33C2"/>
    <w:rsid w:val="00EB605C"/>
    <w:rsid w:val="00EC146C"/>
    <w:rsid w:val="00EC212B"/>
    <w:rsid w:val="00EC3566"/>
    <w:rsid w:val="00EC398F"/>
    <w:rsid w:val="00EC3F35"/>
    <w:rsid w:val="00EC5481"/>
    <w:rsid w:val="00EC6898"/>
    <w:rsid w:val="00ED1D61"/>
    <w:rsid w:val="00ED2A7D"/>
    <w:rsid w:val="00ED6573"/>
    <w:rsid w:val="00EE15FF"/>
    <w:rsid w:val="00EE1F12"/>
    <w:rsid w:val="00EE2B03"/>
    <w:rsid w:val="00EE2DC4"/>
    <w:rsid w:val="00EE6C27"/>
    <w:rsid w:val="00EF5367"/>
    <w:rsid w:val="00EF5EB0"/>
    <w:rsid w:val="00EF709F"/>
    <w:rsid w:val="00EF7440"/>
    <w:rsid w:val="00F00FC4"/>
    <w:rsid w:val="00F03F2A"/>
    <w:rsid w:val="00F057A5"/>
    <w:rsid w:val="00F074FF"/>
    <w:rsid w:val="00F07C17"/>
    <w:rsid w:val="00F13863"/>
    <w:rsid w:val="00F13898"/>
    <w:rsid w:val="00F14315"/>
    <w:rsid w:val="00F14358"/>
    <w:rsid w:val="00F166D2"/>
    <w:rsid w:val="00F17EC0"/>
    <w:rsid w:val="00F213D7"/>
    <w:rsid w:val="00F21EE2"/>
    <w:rsid w:val="00F22F95"/>
    <w:rsid w:val="00F2741E"/>
    <w:rsid w:val="00F31ACA"/>
    <w:rsid w:val="00F32689"/>
    <w:rsid w:val="00F454F0"/>
    <w:rsid w:val="00F5088D"/>
    <w:rsid w:val="00F56F2D"/>
    <w:rsid w:val="00F604E5"/>
    <w:rsid w:val="00F611A2"/>
    <w:rsid w:val="00F64F21"/>
    <w:rsid w:val="00F7107F"/>
    <w:rsid w:val="00F72E5E"/>
    <w:rsid w:val="00F74849"/>
    <w:rsid w:val="00F76CF8"/>
    <w:rsid w:val="00F7761E"/>
    <w:rsid w:val="00F77D4F"/>
    <w:rsid w:val="00F82149"/>
    <w:rsid w:val="00F82C29"/>
    <w:rsid w:val="00F83306"/>
    <w:rsid w:val="00F9413E"/>
    <w:rsid w:val="00F94E33"/>
    <w:rsid w:val="00FA08A0"/>
    <w:rsid w:val="00FA4466"/>
    <w:rsid w:val="00FA5F60"/>
    <w:rsid w:val="00FA666D"/>
    <w:rsid w:val="00FA7611"/>
    <w:rsid w:val="00FB07B6"/>
    <w:rsid w:val="00FB18C3"/>
    <w:rsid w:val="00FB2EA7"/>
    <w:rsid w:val="00FB3282"/>
    <w:rsid w:val="00FC2DA1"/>
    <w:rsid w:val="00FC67FD"/>
    <w:rsid w:val="00FD0DBE"/>
    <w:rsid w:val="00FD203F"/>
    <w:rsid w:val="00FD3964"/>
    <w:rsid w:val="00FD6CC7"/>
    <w:rsid w:val="00FD7C43"/>
    <w:rsid w:val="00FD7D74"/>
    <w:rsid w:val="00FE3687"/>
    <w:rsid w:val="00FE37CD"/>
    <w:rsid w:val="00FE779A"/>
    <w:rsid w:val="00FF07D2"/>
    <w:rsid w:val="00FF36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8AD"/>
    <w:pPr>
      <w:spacing w:after="200" w:line="276" w:lineRule="auto"/>
    </w:pPr>
    <w:rPr>
      <w:sz w:val="22"/>
      <w:szCs w:val="22"/>
      <w:lang w:eastAsia="en-US"/>
    </w:rPr>
  </w:style>
  <w:style w:type="paragraph" w:styleId="Balk1">
    <w:name w:val="heading 1"/>
    <w:basedOn w:val="Normal"/>
    <w:next w:val="Normal"/>
    <w:link w:val="Balk1Char"/>
    <w:uiPriority w:val="9"/>
    <w:qFormat/>
    <w:rsid w:val="00813D02"/>
    <w:pPr>
      <w:keepNext/>
      <w:spacing w:before="240" w:after="60"/>
      <w:outlineLvl w:val="0"/>
    </w:pPr>
    <w:rPr>
      <w:rFonts w:ascii="Cambria" w:eastAsia="Times New Roman" w:hAnsi="Cambria"/>
      <w:b/>
      <w:bCs/>
      <w:kern w:val="32"/>
      <w:sz w:val="32"/>
      <w:szCs w:val="32"/>
    </w:rPr>
  </w:style>
  <w:style w:type="paragraph" w:styleId="Balk3">
    <w:name w:val="heading 3"/>
    <w:basedOn w:val="Normal"/>
    <w:next w:val="Normal"/>
    <w:link w:val="Balk3Char"/>
    <w:semiHidden/>
    <w:unhideWhenUsed/>
    <w:qFormat/>
    <w:rsid w:val="00BD53DD"/>
    <w:pPr>
      <w:keepNext/>
      <w:spacing w:before="240" w:after="60" w:line="240" w:lineRule="auto"/>
      <w:outlineLvl w:val="2"/>
    </w:pPr>
    <w:rPr>
      <w:rFonts w:ascii="Arial" w:eastAsia="Times New Roman" w:hAnsi="Arial" w:cs="Arial"/>
      <w:b/>
      <w:b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
    <w:basedOn w:val="Normal"/>
    <w:link w:val="ListeParagrafChar"/>
    <w:uiPriority w:val="34"/>
    <w:qFormat/>
    <w:rsid w:val="00036B7B"/>
    <w:pPr>
      <w:ind w:left="720"/>
      <w:contextualSpacing/>
    </w:pPr>
  </w:style>
  <w:style w:type="paragraph" w:styleId="stbilgi">
    <w:name w:val="header"/>
    <w:basedOn w:val="Normal"/>
    <w:link w:val="stbilgiChar"/>
    <w:uiPriority w:val="99"/>
    <w:unhideWhenUsed/>
    <w:rsid w:val="00D158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158EF"/>
  </w:style>
  <w:style w:type="paragraph" w:styleId="Altbilgi">
    <w:name w:val="footer"/>
    <w:basedOn w:val="Normal"/>
    <w:link w:val="AltbilgiChar"/>
    <w:uiPriority w:val="99"/>
    <w:unhideWhenUsed/>
    <w:rsid w:val="00D158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158EF"/>
  </w:style>
  <w:style w:type="paragraph" w:styleId="BalonMetni">
    <w:name w:val="Balloon Text"/>
    <w:basedOn w:val="Normal"/>
    <w:link w:val="BalonMetniChar"/>
    <w:uiPriority w:val="99"/>
    <w:semiHidden/>
    <w:unhideWhenUsed/>
    <w:rsid w:val="00C031A3"/>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C031A3"/>
    <w:rPr>
      <w:rFonts w:ascii="Tahoma" w:hAnsi="Tahoma" w:cs="Tahoma"/>
      <w:sz w:val="16"/>
      <w:szCs w:val="16"/>
    </w:rPr>
  </w:style>
  <w:style w:type="paragraph" w:customStyle="1" w:styleId="Default">
    <w:name w:val="Default"/>
    <w:rsid w:val="001F2AE2"/>
    <w:pPr>
      <w:autoSpaceDE w:val="0"/>
      <w:autoSpaceDN w:val="0"/>
      <w:adjustRightInd w:val="0"/>
    </w:pPr>
    <w:rPr>
      <w:rFonts w:eastAsia="Times New Roman" w:cs="Calibri"/>
      <w:color w:val="000000"/>
      <w:sz w:val="24"/>
      <w:szCs w:val="24"/>
    </w:rPr>
  </w:style>
  <w:style w:type="table" w:styleId="TabloKlavuzu">
    <w:name w:val="Table Grid"/>
    <w:basedOn w:val="NormalTablo"/>
    <w:uiPriority w:val="59"/>
    <w:rsid w:val="008E71EA"/>
    <w:pPr>
      <w:jc w:val="both"/>
    </w:pPr>
    <w:rPr>
      <w:rFonts w:ascii="Times New Roman" w:hAnsi="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link w:val="Balk3"/>
    <w:semiHidden/>
    <w:rsid w:val="00BD53DD"/>
    <w:rPr>
      <w:rFonts w:ascii="Arial" w:eastAsia="Times New Roman" w:hAnsi="Arial" w:cs="Arial"/>
      <w:b/>
      <w:bCs/>
      <w:sz w:val="26"/>
      <w:szCs w:val="26"/>
    </w:rPr>
  </w:style>
  <w:style w:type="character" w:customStyle="1" w:styleId="ListeParagrafChar">
    <w:name w:val="Liste Paragraf Char"/>
    <w:aliases w:val="içindekiler vb Char,List Paragraph Char"/>
    <w:link w:val="ListeParagraf"/>
    <w:uiPriority w:val="99"/>
    <w:locked/>
    <w:rsid w:val="006E7803"/>
    <w:rPr>
      <w:sz w:val="22"/>
      <w:szCs w:val="22"/>
      <w:lang w:eastAsia="en-US"/>
    </w:rPr>
  </w:style>
  <w:style w:type="paragraph" w:styleId="DipnotMetni">
    <w:name w:val="footnote text"/>
    <w:basedOn w:val="Normal"/>
    <w:link w:val="DipnotMetniChar"/>
    <w:uiPriority w:val="99"/>
    <w:semiHidden/>
    <w:unhideWhenUsed/>
    <w:rsid w:val="00343749"/>
    <w:pPr>
      <w:spacing w:after="0" w:line="240" w:lineRule="auto"/>
    </w:pPr>
    <w:rPr>
      <w:sz w:val="20"/>
      <w:szCs w:val="20"/>
    </w:rPr>
  </w:style>
  <w:style w:type="character" w:customStyle="1" w:styleId="DipnotMetniChar">
    <w:name w:val="Dipnot Metni Char"/>
    <w:link w:val="DipnotMetni"/>
    <w:uiPriority w:val="99"/>
    <w:semiHidden/>
    <w:rsid w:val="00343749"/>
    <w:rPr>
      <w:lang w:eastAsia="en-US"/>
    </w:rPr>
  </w:style>
  <w:style w:type="character" w:styleId="DipnotBavurusu">
    <w:name w:val="footnote reference"/>
    <w:uiPriority w:val="99"/>
    <w:semiHidden/>
    <w:unhideWhenUsed/>
    <w:rsid w:val="00343749"/>
    <w:rPr>
      <w:vertAlign w:val="superscript"/>
    </w:rPr>
  </w:style>
  <w:style w:type="character" w:styleId="AklamaBavurusu">
    <w:name w:val="annotation reference"/>
    <w:uiPriority w:val="99"/>
    <w:semiHidden/>
    <w:unhideWhenUsed/>
    <w:rsid w:val="00BE7F9F"/>
    <w:rPr>
      <w:sz w:val="16"/>
      <w:szCs w:val="16"/>
    </w:rPr>
  </w:style>
  <w:style w:type="paragraph" w:styleId="AklamaMetni">
    <w:name w:val="annotation text"/>
    <w:basedOn w:val="Normal"/>
    <w:link w:val="AklamaMetniChar"/>
    <w:uiPriority w:val="99"/>
    <w:semiHidden/>
    <w:unhideWhenUsed/>
    <w:rsid w:val="00BE7F9F"/>
    <w:pPr>
      <w:spacing w:line="240" w:lineRule="auto"/>
    </w:pPr>
    <w:rPr>
      <w:sz w:val="20"/>
      <w:szCs w:val="20"/>
    </w:rPr>
  </w:style>
  <w:style w:type="character" w:customStyle="1" w:styleId="AklamaMetniChar">
    <w:name w:val="Açıklama Metni Char"/>
    <w:link w:val="AklamaMetni"/>
    <w:uiPriority w:val="99"/>
    <w:semiHidden/>
    <w:rsid w:val="00BE7F9F"/>
    <w:rPr>
      <w:lang w:eastAsia="en-US"/>
    </w:rPr>
  </w:style>
  <w:style w:type="character" w:customStyle="1" w:styleId="Balk1Char">
    <w:name w:val="Başlık 1 Char"/>
    <w:link w:val="Balk1"/>
    <w:uiPriority w:val="9"/>
    <w:rsid w:val="00813D02"/>
    <w:rPr>
      <w:rFonts w:ascii="Cambria" w:eastAsia="Times New Roman" w:hAnsi="Cambria" w:cs="Times New Roman"/>
      <w:b/>
      <w:bCs/>
      <w:kern w:val="32"/>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8AD"/>
    <w:pPr>
      <w:spacing w:after="200" w:line="276" w:lineRule="auto"/>
    </w:pPr>
    <w:rPr>
      <w:sz w:val="22"/>
      <w:szCs w:val="22"/>
      <w:lang w:eastAsia="en-US"/>
    </w:rPr>
  </w:style>
  <w:style w:type="paragraph" w:styleId="Balk1">
    <w:name w:val="heading 1"/>
    <w:basedOn w:val="Normal"/>
    <w:next w:val="Normal"/>
    <w:link w:val="Balk1Char"/>
    <w:uiPriority w:val="9"/>
    <w:qFormat/>
    <w:rsid w:val="00813D02"/>
    <w:pPr>
      <w:keepNext/>
      <w:spacing w:before="240" w:after="60"/>
      <w:outlineLvl w:val="0"/>
    </w:pPr>
    <w:rPr>
      <w:rFonts w:ascii="Cambria" w:eastAsia="Times New Roman" w:hAnsi="Cambria"/>
      <w:b/>
      <w:bCs/>
      <w:kern w:val="32"/>
      <w:sz w:val="32"/>
      <w:szCs w:val="32"/>
    </w:rPr>
  </w:style>
  <w:style w:type="paragraph" w:styleId="Balk3">
    <w:name w:val="heading 3"/>
    <w:basedOn w:val="Normal"/>
    <w:next w:val="Normal"/>
    <w:link w:val="Balk3Char"/>
    <w:semiHidden/>
    <w:unhideWhenUsed/>
    <w:qFormat/>
    <w:rsid w:val="00BD53DD"/>
    <w:pPr>
      <w:keepNext/>
      <w:spacing w:before="240" w:after="60" w:line="240" w:lineRule="auto"/>
      <w:outlineLvl w:val="2"/>
    </w:pPr>
    <w:rPr>
      <w:rFonts w:ascii="Arial" w:eastAsia="Times New Roman" w:hAnsi="Arial" w:cs="Arial"/>
      <w:b/>
      <w:b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
    <w:basedOn w:val="Normal"/>
    <w:link w:val="ListeParagrafChar"/>
    <w:uiPriority w:val="34"/>
    <w:qFormat/>
    <w:rsid w:val="00036B7B"/>
    <w:pPr>
      <w:ind w:left="720"/>
      <w:contextualSpacing/>
    </w:pPr>
  </w:style>
  <w:style w:type="paragraph" w:styleId="stbilgi">
    <w:name w:val="header"/>
    <w:basedOn w:val="Normal"/>
    <w:link w:val="stbilgiChar"/>
    <w:uiPriority w:val="99"/>
    <w:unhideWhenUsed/>
    <w:rsid w:val="00D158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158EF"/>
  </w:style>
  <w:style w:type="paragraph" w:styleId="Altbilgi">
    <w:name w:val="footer"/>
    <w:basedOn w:val="Normal"/>
    <w:link w:val="AltbilgiChar"/>
    <w:uiPriority w:val="99"/>
    <w:unhideWhenUsed/>
    <w:rsid w:val="00D158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158EF"/>
  </w:style>
  <w:style w:type="paragraph" w:styleId="BalonMetni">
    <w:name w:val="Balloon Text"/>
    <w:basedOn w:val="Normal"/>
    <w:link w:val="BalonMetniChar"/>
    <w:uiPriority w:val="99"/>
    <w:semiHidden/>
    <w:unhideWhenUsed/>
    <w:rsid w:val="00C031A3"/>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C031A3"/>
    <w:rPr>
      <w:rFonts w:ascii="Tahoma" w:hAnsi="Tahoma" w:cs="Tahoma"/>
      <w:sz w:val="16"/>
      <w:szCs w:val="16"/>
    </w:rPr>
  </w:style>
  <w:style w:type="paragraph" w:customStyle="1" w:styleId="Default">
    <w:name w:val="Default"/>
    <w:rsid w:val="001F2AE2"/>
    <w:pPr>
      <w:autoSpaceDE w:val="0"/>
      <w:autoSpaceDN w:val="0"/>
      <w:adjustRightInd w:val="0"/>
    </w:pPr>
    <w:rPr>
      <w:rFonts w:eastAsia="Times New Roman" w:cs="Calibri"/>
      <w:color w:val="000000"/>
      <w:sz w:val="24"/>
      <w:szCs w:val="24"/>
    </w:rPr>
  </w:style>
  <w:style w:type="table" w:styleId="TabloKlavuzu">
    <w:name w:val="Table Grid"/>
    <w:basedOn w:val="NormalTablo"/>
    <w:uiPriority w:val="59"/>
    <w:rsid w:val="008E71EA"/>
    <w:pPr>
      <w:jc w:val="both"/>
    </w:pPr>
    <w:rPr>
      <w:rFonts w:ascii="Times New Roman" w:hAnsi="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link w:val="Balk3"/>
    <w:semiHidden/>
    <w:rsid w:val="00BD53DD"/>
    <w:rPr>
      <w:rFonts w:ascii="Arial" w:eastAsia="Times New Roman" w:hAnsi="Arial" w:cs="Arial"/>
      <w:b/>
      <w:bCs/>
      <w:sz w:val="26"/>
      <w:szCs w:val="26"/>
    </w:rPr>
  </w:style>
  <w:style w:type="character" w:customStyle="1" w:styleId="ListeParagrafChar">
    <w:name w:val="Liste Paragraf Char"/>
    <w:aliases w:val="içindekiler vb Char,List Paragraph Char"/>
    <w:link w:val="ListeParagraf"/>
    <w:uiPriority w:val="99"/>
    <w:locked/>
    <w:rsid w:val="006E7803"/>
    <w:rPr>
      <w:sz w:val="22"/>
      <w:szCs w:val="22"/>
      <w:lang w:eastAsia="en-US"/>
    </w:rPr>
  </w:style>
  <w:style w:type="paragraph" w:styleId="DipnotMetni">
    <w:name w:val="footnote text"/>
    <w:basedOn w:val="Normal"/>
    <w:link w:val="DipnotMetniChar"/>
    <w:uiPriority w:val="99"/>
    <w:semiHidden/>
    <w:unhideWhenUsed/>
    <w:rsid w:val="00343749"/>
    <w:pPr>
      <w:spacing w:after="0" w:line="240" w:lineRule="auto"/>
    </w:pPr>
    <w:rPr>
      <w:sz w:val="20"/>
      <w:szCs w:val="20"/>
    </w:rPr>
  </w:style>
  <w:style w:type="character" w:customStyle="1" w:styleId="DipnotMetniChar">
    <w:name w:val="Dipnot Metni Char"/>
    <w:link w:val="DipnotMetni"/>
    <w:uiPriority w:val="99"/>
    <w:semiHidden/>
    <w:rsid w:val="00343749"/>
    <w:rPr>
      <w:lang w:eastAsia="en-US"/>
    </w:rPr>
  </w:style>
  <w:style w:type="character" w:styleId="DipnotBavurusu">
    <w:name w:val="footnote reference"/>
    <w:uiPriority w:val="99"/>
    <w:semiHidden/>
    <w:unhideWhenUsed/>
    <w:rsid w:val="00343749"/>
    <w:rPr>
      <w:vertAlign w:val="superscript"/>
    </w:rPr>
  </w:style>
  <w:style w:type="character" w:styleId="AklamaBavurusu">
    <w:name w:val="annotation reference"/>
    <w:uiPriority w:val="99"/>
    <w:semiHidden/>
    <w:unhideWhenUsed/>
    <w:rsid w:val="00BE7F9F"/>
    <w:rPr>
      <w:sz w:val="16"/>
      <w:szCs w:val="16"/>
    </w:rPr>
  </w:style>
  <w:style w:type="paragraph" w:styleId="AklamaMetni">
    <w:name w:val="annotation text"/>
    <w:basedOn w:val="Normal"/>
    <w:link w:val="AklamaMetniChar"/>
    <w:uiPriority w:val="99"/>
    <w:semiHidden/>
    <w:unhideWhenUsed/>
    <w:rsid w:val="00BE7F9F"/>
    <w:pPr>
      <w:spacing w:line="240" w:lineRule="auto"/>
    </w:pPr>
    <w:rPr>
      <w:sz w:val="20"/>
      <w:szCs w:val="20"/>
    </w:rPr>
  </w:style>
  <w:style w:type="character" w:customStyle="1" w:styleId="AklamaMetniChar">
    <w:name w:val="Açıklama Metni Char"/>
    <w:link w:val="AklamaMetni"/>
    <w:uiPriority w:val="99"/>
    <w:semiHidden/>
    <w:rsid w:val="00BE7F9F"/>
    <w:rPr>
      <w:lang w:eastAsia="en-US"/>
    </w:rPr>
  </w:style>
  <w:style w:type="character" w:customStyle="1" w:styleId="Balk1Char">
    <w:name w:val="Başlık 1 Char"/>
    <w:link w:val="Balk1"/>
    <w:uiPriority w:val="9"/>
    <w:rsid w:val="00813D02"/>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9483">
      <w:bodyDiv w:val="1"/>
      <w:marLeft w:val="0"/>
      <w:marRight w:val="0"/>
      <w:marTop w:val="0"/>
      <w:marBottom w:val="0"/>
      <w:divBdr>
        <w:top w:val="none" w:sz="0" w:space="0" w:color="auto"/>
        <w:left w:val="none" w:sz="0" w:space="0" w:color="auto"/>
        <w:bottom w:val="none" w:sz="0" w:space="0" w:color="auto"/>
        <w:right w:val="none" w:sz="0" w:space="0" w:color="auto"/>
      </w:divBdr>
      <w:divsChild>
        <w:div w:id="945428285">
          <w:marLeft w:val="720"/>
          <w:marRight w:val="0"/>
          <w:marTop w:val="0"/>
          <w:marBottom w:val="0"/>
          <w:divBdr>
            <w:top w:val="none" w:sz="0" w:space="0" w:color="auto"/>
            <w:left w:val="none" w:sz="0" w:space="0" w:color="auto"/>
            <w:bottom w:val="none" w:sz="0" w:space="0" w:color="auto"/>
            <w:right w:val="none" w:sz="0" w:space="0" w:color="auto"/>
          </w:divBdr>
        </w:div>
        <w:div w:id="1195923190">
          <w:marLeft w:val="720"/>
          <w:marRight w:val="0"/>
          <w:marTop w:val="0"/>
          <w:marBottom w:val="0"/>
          <w:divBdr>
            <w:top w:val="none" w:sz="0" w:space="0" w:color="auto"/>
            <w:left w:val="none" w:sz="0" w:space="0" w:color="auto"/>
            <w:bottom w:val="none" w:sz="0" w:space="0" w:color="auto"/>
            <w:right w:val="none" w:sz="0" w:space="0" w:color="auto"/>
          </w:divBdr>
        </w:div>
        <w:div w:id="1234704086">
          <w:marLeft w:val="720"/>
          <w:marRight w:val="0"/>
          <w:marTop w:val="0"/>
          <w:marBottom w:val="0"/>
          <w:divBdr>
            <w:top w:val="none" w:sz="0" w:space="0" w:color="auto"/>
            <w:left w:val="none" w:sz="0" w:space="0" w:color="auto"/>
            <w:bottom w:val="none" w:sz="0" w:space="0" w:color="auto"/>
            <w:right w:val="none" w:sz="0" w:space="0" w:color="auto"/>
          </w:divBdr>
        </w:div>
        <w:div w:id="1416896923">
          <w:marLeft w:val="720"/>
          <w:marRight w:val="0"/>
          <w:marTop w:val="0"/>
          <w:marBottom w:val="0"/>
          <w:divBdr>
            <w:top w:val="none" w:sz="0" w:space="0" w:color="auto"/>
            <w:left w:val="none" w:sz="0" w:space="0" w:color="auto"/>
            <w:bottom w:val="none" w:sz="0" w:space="0" w:color="auto"/>
            <w:right w:val="none" w:sz="0" w:space="0" w:color="auto"/>
          </w:divBdr>
        </w:div>
      </w:divsChild>
    </w:div>
    <w:div w:id="163857248">
      <w:bodyDiv w:val="1"/>
      <w:marLeft w:val="0"/>
      <w:marRight w:val="0"/>
      <w:marTop w:val="0"/>
      <w:marBottom w:val="0"/>
      <w:divBdr>
        <w:top w:val="none" w:sz="0" w:space="0" w:color="auto"/>
        <w:left w:val="none" w:sz="0" w:space="0" w:color="auto"/>
        <w:bottom w:val="none" w:sz="0" w:space="0" w:color="auto"/>
        <w:right w:val="none" w:sz="0" w:space="0" w:color="auto"/>
      </w:divBdr>
    </w:div>
    <w:div w:id="198318520">
      <w:bodyDiv w:val="1"/>
      <w:marLeft w:val="0"/>
      <w:marRight w:val="0"/>
      <w:marTop w:val="0"/>
      <w:marBottom w:val="0"/>
      <w:divBdr>
        <w:top w:val="none" w:sz="0" w:space="0" w:color="auto"/>
        <w:left w:val="none" w:sz="0" w:space="0" w:color="auto"/>
        <w:bottom w:val="none" w:sz="0" w:space="0" w:color="auto"/>
        <w:right w:val="none" w:sz="0" w:space="0" w:color="auto"/>
      </w:divBdr>
    </w:div>
    <w:div w:id="930742520">
      <w:bodyDiv w:val="1"/>
      <w:marLeft w:val="0"/>
      <w:marRight w:val="0"/>
      <w:marTop w:val="0"/>
      <w:marBottom w:val="0"/>
      <w:divBdr>
        <w:top w:val="none" w:sz="0" w:space="0" w:color="auto"/>
        <w:left w:val="none" w:sz="0" w:space="0" w:color="auto"/>
        <w:bottom w:val="none" w:sz="0" w:space="0" w:color="auto"/>
        <w:right w:val="none" w:sz="0" w:space="0" w:color="auto"/>
      </w:divBdr>
    </w:div>
    <w:div w:id="1102143381">
      <w:bodyDiv w:val="1"/>
      <w:marLeft w:val="0"/>
      <w:marRight w:val="0"/>
      <w:marTop w:val="0"/>
      <w:marBottom w:val="0"/>
      <w:divBdr>
        <w:top w:val="none" w:sz="0" w:space="0" w:color="auto"/>
        <w:left w:val="none" w:sz="0" w:space="0" w:color="auto"/>
        <w:bottom w:val="none" w:sz="0" w:space="0" w:color="auto"/>
        <w:right w:val="none" w:sz="0" w:space="0" w:color="auto"/>
      </w:divBdr>
    </w:div>
    <w:div w:id="1225994519">
      <w:bodyDiv w:val="1"/>
      <w:marLeft w:val="0"/>
      <w:marRight w:val="0"/>
      <w:marTop w:val="0"/>
      <w:marBottom w:val="0"/>
      <w:divBdr>
        <w:top w:val="none" w:sz="0" w:space="0" w:color="auto"/>
        <w:left w:val="none" w:sz="0" w:space="0" w:color="auto"/>
        <w:bottom w:val="none" w:sz="0" w:space="0" w:color="auto"/>
        <w:right w:val="none" w:sz="0" w:space="0" w:color="auto"/>
      </w:divBdr>
      <w:divsChild>
        <w:div w:id="1044981865">
          <w:marLeft w:val="720"/>
          <w:marRight w:val="0"/>
          <w:marTop w:val="0"/>
          <w:marBottom w:val="0"/>
          <w:divBdr>
            <w:top w:val="none" w:sz="0" w:space="0" w:color="auto"/>
            <w:left w:val="none" w:sz="0" w:space="0" w:color="auto"/>
            <w:bottom w:val="none" w:sz="0" w:space="0" w:color="auto"/>
            <w:right w:val="none" w:sz="0" w:space="0" w:color="auto"/>
          </w:divBdr>
        </w:div>
        <w:div w:id="1422138313">
          <w:marLeft w:val="720"/>
          <w:marRight w:val="0"/>
          <w:marTop w:val="0"/>
          <w:marBottom w:val="0"/>
          <w:divBdr>
            <w:top w:val="none" w:sz="0" w:space="0" w:color="auto"/>
            <w:left w:val="none" w:sz="0" w:space="0" w:color="auto"/>
            <w:bottom w:val="none" w:sz="0" w:space="0" w:color="auto"/>
            <w:right w:val="none" w:sz="0" w:space="0" w:color="auto"/>
          </w:divBdr>
        </w:div>
        <w:div w:id="1888644871">
          <w:marLeft w:val="720"/>
          <w:marRight w:val="0"/>
          <w:marTop w:val="0"/>
          <w:marBottom w:val="0"/>
          <w:divBdr>
            <w:top w:val="none" w:sz="0" w:space="0" w:color="auto"/>
            <w:left w:val="none" w:sz="0" w:space="0" w:color="auto"/>
            <w:bottom w:val="none" w:sz="0" w:space="0" w:color="auto"/>
            <w:right w:val="none" w:sz="0" w:space="0" w:color="auto"/>
          </w:divBdr>
        </w:div>
        <w:div w:id="214534635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32DA8-5FDD-4C77-8A0F-129B28D34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11001</Words>
  <Characters>62710</Characters>
  <Application>Microsoft Office Word</Application>
  <DocSecurity>0</DocSecurity>
  <Lines>522</Lines>
  <Paragraphs>147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Kutluhan TAŞKIN</dc:creator>
  <cp:lastModifiedBy>Ahmet ÇELENKOĞLU</cp:lastModifiedBy>
  <cp:revision>3</cp:revision>
  <cp:lastPrinted>2013-10-08T08:49:00Z</cp:lastPrinted>
  <dcterms:created xsi:type="dcterms:W3CDTF">2013-10-08T13:56:00Z</dcterms:created>
  <dcterms:modified xsi:type="dcterms:W3CDTF">2013-10-08T13:57:00Z</dcterms:modified>
</cp:coreProperties>
</file>